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01B4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01B4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01B46">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C9A1682" w14:textId="77777777" w:rsidR="00F01B46" w:rsidRDefault="00F01B46" w:rsidP="00F01B46">
      <w:pPr>
        <w:pStyle w:val="CETTitle"/>
      </w:pPr>
      <w:r w:rsidRPr="00F01B46">
        <w:t>Hydrothermal Carbonization of Agro-Industrial By-Products for the Production of Valuable Chemicals</w:t>
      </w:r>
    </w:p>
    <w:p w14:paraId="0488FED2" w14:textId="64686F7F" w:rsidR="00B57E6F" w:rsidRPr="00F01B46" w:rsidRDefault="00F01B46" w:rsidP="00F01B46">
      <w:pPr>
        <w:pStyle w:val="CETAuthors"/>
        <w:rPr>
          <w:lang w:val="it-IT"/>
        </w:rPr>
      </w:pPr>
      <w:r w:rsidRPr="00F01B46">
        <w:rPr>
          <w:lang w:val="it-IT"/>
        </w:rPr>
        <w:t>Fabrizio Di Caprio</w:t>
      </w:r>
      <w:r>
        <w:rPr>
          <w:lang w:val="it-IT"/>
        </w:rPr>
        <w:t>*</w:t>
      </w:r>
      <w:r w:rsidRPr="00F01B46">
        <w:rPr>
          <w:lang w:val="it-IT"/>
        </w:rPr>
        <w:t xml:space="preserve">, Flavia Marzulli, Pietro </w:t>
      </w:r>
      <w:r>
        <w:rPr>
          <w:lang w:val="it-IT"/>
        </w:rPr>
        <w:t>Altimari, Marianna Villano, Francesca Pagnanelli</w:t>
      </w:r>
      <w:r w:rsidR="00B57E6F" w:rsidRPr="00F01B46">
        <w:rPr>
          <w:lang w:val="it-IT"/>
        </w:rPr>
        <w:t xml:space="preserve"> </w:t>
      </w:r>
    </w:p>
    <w:p w14:paraId="6B2D21B3" w14:textId="1A259D29" w:rsidR="00B57E6F" w:rsidRPr="00F01B46" w:rsidRDefault="00B57E6F" w:rsidP="00B57E6F">
      <w:pPr>
        <w:pStyle w:val="CETAddress"/>
        <w:rPr>
          <w:lang w:val="it-IT"/>
        </w:rPr>
      </w:pPr>
      <w:r w:rsidRPr="00F01B46">
        <w:rPr>
          <w:vertAlign w:val="superscript"/>
          <w:lang w:val="it-IT"/>
        </w:rPr>
        <w:t>a</w:t>
      </w:r>
      <w:r w:rsidR="00F01B46" w:rsidRPr="00F01B46">
        <w:rPr>
          <w:lang w:val="it-IT"/>
        </w:rPr>
        <w:t>Dipartimento di Chimica, Università S</w:t>
      </w:r>
      <w:r w:rsidR="00F01B46">
        <w:rPr>
          <w:lang w:val="it-IT"/>
        </w:rPr>
        <w:t>apienza di Roma, Piazzale Aldo Moro 5, 00185, Rome, Italy</w:t>
      </w:r>
    </w:p>
    <w:p w14:paraId="73F1267A" w14:textId="158A4670" w:rsidR="00B57E6F" w:rsidRPr="00F01B46" w:rsidRDefault="00F01B46" w:rsidP="00B57E6F">
      <w:pPr>
        <w:pStyle w:val="CETemail"/>
        <w:rPr>
          <w:lang w:val="en-US"/>
        </w:rPr>
      </w:pPr>
      <w:r>
        <w:rPr>
          <w:lang w:val="en-US"/>
        </w:rPr>
        <w:t>*</w:t>
      </w:r>
      <w:r w:rsidRPr="00F01B46">
        <w:rPr>
          <w:lang w:val="en-US"/>
        </w:rPr>
        <w:t>fabrizio.dicaprio@uniroma1.it</w:t>
      </w:r>
    </w:p>
    <w:p w14:paraId="52DF003E" w14:textId="6D057D4A" w:rsidR="001B4F08" w:rsidRPr="009E7DEA" w:rsidRDefault="001B4F08" w:rsidP="001B4F08">
      <w:pPr>
        <w:pStyle w:val="CETBodytext"/>
      </w:pPr>
      <w:r w:rsidRPr="001B4F08">
        <w:t xml:space="preserve">The development of a sustainable bioeconomy requires the application of effective technological solutions to recycle organic molecules into valuable products. Hydrothermal treatments are thermochemical processes that can be employed to depolymerize biomass into small organic molecules suitable for new applications. Most of the research on hydrothermal processes has focused on the stabilization of </w:t>
      </w:r>
      <w:r w:rsidR="009E7DEA">
        <w:t>the organic compounds</w:t>
      </w:r>
      <w:r w:rsidRPr="001B4F08">
        <w:t xml:space="preserve">, producing a carbonaceous </w:t>
      </w:r>
      <w:proofErr w:type="spellStart"/>
      <w:r w:rsidRPr="001B4F08">
        <w:t>hydrochar</w:t>
      </w:r>
      <w:proofErr w:type="spellEnd"/>
      <w:r w:rsidRPr="001B4F08">
        <w:t xml:space="preserve"> material, while less attention has been given to the extraction of valuable organic molecules. In this study, we investigated the effects of temperature (160 and 190 °C) and reaction time (15 and 60 min) on the hydrothermal treatment of two different biomasses: orange peels and barley straw. Both the solid </w:t>
      </w:r>
      <w:proofErr w:type="spellStart"/>
      <w:r w:rsidRPr="001B4F08">
        <w:t>hydrochar</w:t>
      </w:r>
      <w:proofErr w:type="spellEnd"/>
      <w:r w:rsidRPr="001B4F08">
        <w:t xml:space="preserve"> and the aqueous extracts were chemically characterized. Specifically, the aqueous extracts were analyzed for their content of released organic molecules and </w:t>
      </w:r>
      <w:r w:rsidR="0069699F">
        <w:t xml:space="preserve">were </w:t>
      </w:r>
      <w:r w:rsidRPr="001B4F08">
        <w:t xml:space="preserve">tested </w:t>
      </w:r>
      <w:r w:rsidR="009E7DEA">
        <w:t>by</w:t>
      </w:r>
      <w:r w:rsidRPr="001B4F08">
        <w:t xml:space="preserve"> respirometry to assess their potential as substrates for microbial fermentations. Results showed that lower temperatures and shorter reaction times led to the release of higher concentrations of soluble organic molecules, reaching </w:t>
      </w:r>
      <w:r w:rsidR="0069699F">
        <w:t xml:space="preserve">a </w:t>
      </w:r>
      <w:r w:rsidRPr="001B4F08">
        <w:t xml:space="preserve">COD </w:t>
      </w:r>
      <w:r w:rsidR="0069699F">
        <w:t xml:space="preserve">(Chemical Oxygen Demand) value </w:t>
      </w:r>
      <w:r w:rsidRPr="001B4F08">
        <w:t>up to 161 g L</w:t>
      </w:r>
      <w:r w:rsidRPr="001B4F08">
        <w:rPr>
          <w:rFonts w:ascii="Cambria Math" w:hAnsi="Cambria Math" w:cs="Cambria Math"/>
        </w:rPr>
        <w:t>⁻</w:t>
      </w:r>
      <w:r w:rsidRPr="001B4F08">
        <w:rPr>
          <w:rFonts w:cs="Arial"/>
        </w:rPr>
        <w:t>¹</w:t>
      </w:r>
      <w:r w:rsidRPr="001B4F08">
        <w:t>, phenols up to 5.5 g L</w:t>
      </w:r>
      <w:r w:rsidRPr="001B4F08">
        <w:rPr>
          <w:rFonts w:ascii="Cambria Math" w:hAnsi="Cambria Math" w:cs="Cambria Math"/>
        </w:rPr>
        <w:t>⁻</w:t>
      </w:r>
      <w:r w:rsidRPr="001B4F08">
        <w:rPr>
          <w:rFonts w:cs="Arial"/>
        </w:rPr>
        <w:t>¹</w:t>
      </w:r>
      <w:r w:rsidRPr="001B4F08">
        <w:t>, and carbohydrates up to 47 g L</w:t>
      </w:r>
      <w:r w:rsidRPr="001B4F08">
        <w:rPr>
          <w:rFonts w:ascii="Cambria Math" w:hAnsi="Cambria Math" w:cs="Cambria Math"/>
        </w:rPr>
        <w:t>⁻</w:t>
      </w:r>
      <w:r w:rsidRPr="001B4F08">
        <w:rPr>
          <w:rFonts w:cs="Arial"/>
        </w:rPr>
        <w:t>¹</w:t>
      </w:r>
      <w:r w:rsidRPr="001B4F08">
        <w:t xml:space="preserve">. Orange peels released the highest concentrations of organic molecules in the process water, but this water was poorly biodegradable by mixed microbial cultures (21% biodegradable COD). </w:t>
      </w:r>
      <w:r w:rsidRPr="00552CE1">
        <w:t xml:space="preserve">The process water from the hydrothermal carbonization of barley straw at 190 </w:t>
      </w:r>
      <w:r w:rsidRPr="00552CE1">
        <w:rPr>
          <w:rFonts w:cs="Arial"/>
        </w:rPr>
        <w:t>°</w:t>
      </w:r>
      <w:r w:rsidRPr="00552CE1">
        <w:t>C for 15 minutes was the most biodegradable stream (</w:t>
      </w:r>
      <w:r w:rsidR="006C0679">
        <w:t>34</w:t>
      </w:r>
      <w:r w:rsidRPr="00552CE1">
        <w:t>% biodegradable COD)</w:t>
      </w:r>
      <w:r w:rsidRPr="001B4F08">
        <w:t xml:space="preserve"> </w:t>
      </w:r>
      <w:r w:rsidR="0069699F">
        <w:t xml:space="preserve">between those investigated </w:t>
      </w:r>
      <w:r w:rsidRPr="001B4F08">
        <w:t>and was the most suitable for microbial fermentation, due to its higher acetic acid content. This stream did not cause short-term inhibition of microbial cultures. These preliminary results are promising, but further work is needed to optimize the application of th</w:t>
      </w:r>
      <w:r w:rsidR="009E7DEA">
        <w:t>ese</w:t>
      </w:r>
      <w:r w:rsidRPr="001B4F08">
        <w:t xml:space="preserve"> stream</w:t>
      </w:r>
      <w:r w:rsidR="009E7DEA">
        <w:t>s</w:t>
      </w:r>
      <w:r w:rsidRPr="001B4F08">
        <w:t xml:space="preserve"> for the production of specific value-added products</w:t>
      </w:r>
    </w:p>
    <w:p w14:paraId="476B2F2E" w14:textId="0BCD0254" w:rsidR="00600535" w:rsidRPr="001B4F08" w:rsidRDefault="00600535" w:rsidP="001B4F08">
      <w:pPr>
        <w:pStyle w:val="CETHeading1"/>
      </w:pPr>
      <w:r w:rsidRPr="001B4F08">
        <w:t>Introduction</w:t>
      </w:r>
    </w:p>
    <w:p w14:paraId="10940EF1" w14:textId="5CC06F21" w:rsidR="00F01B46" w:rsidRDefault="00F01B46" w:rsidP="00F01B46">
      <w:pPr>
        <w:pStyle w:val="CETBodytext"/>
      </w:pPr>
      <w:r>
        <w:t>Hydrothermal carbonization (HTC) is a thermochemical process conducted in closed reactors at temperatures ranging from 150 to 350 °C, under autogenous pressure of 2–20 MPa. This process exploits the solvent properties of subcritical water, reduced dielectric constant and increased acid constant, to promote a series of reactions including hydrolysis, dehydration, decarboxylation, aromatization, and condensation</w:t>
      </w:r>
      <w:r w:rsidR="00024CD6">
        <w:t xml:space="preserve"> </w:t>
      </w:r>
      <w:sdt>
        <w:sdtPr>
          <w:rPr>
            <w:color w:val="000000"/>
          </w:rPr>
          <w:tag w:val="MENDELEY_CITATION_v3_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"/>
          <w:id w:val="1533068110"/>
          <w:placeholder>
            <w:docPart w:val="DefaultPlaceholder_-1854013440"/>
          </w:placeholder>
        </w:sdtPr>
        <w:sdtContent>
          <w:r w:rsidR="00585490" w:rsidRPr="00585490">
            <w:rPr>
              <w:color w:val="000000"/>
            </w:rPr>
            <w:t>(Khan et al., 2021)</w:t>
          </w:r>
        </w:sdtContent>
      </w:sdt>
      <w:r>
        <w:t xml:space="preserve">. HTC holds significant promise for the treatment </w:t>
      </w:r>
      <w:r w:rsidR="00B321FC">
        <w:t xml:space="preserve">of </w:t>
      </w:r>
      <w:r>
        <w:t>wet wastes and by-products, as it eliminates the need for preliminary drying</w:t>
      </w:r>
      <w:r w:rsidR="00F62436">
        <w:t xml:space="preserve"> and allow</w:t>
      </w:r>
      <w:r w:rsidR="0069699F">
        <w:t>s</w:t>
      </w:r>
      <w:r w:rsidR="00F62436">
        <w:t xml:space="preserve"> the recovery of small organic molecules and minerals in the water phase.</w:t>
      </w:r>
      <w:r>
        <w:t xml:space="preserve"> The process yields two main phases: a solid and a liquid phase, both of which can be exploitable to produce chemicals. The solid phase, a carbon-rich material, has potential applications as an adsorbent, soil amendment, or in battery manufacturing. The liquid phase contains low molecular weight organic molecules </w:t>
      </w:r>
      <w:r w:rsidR="00F62436">
        <w:t xml:space="preserve">and inorganic elements </w:t>
      </w:r>
      <w:r>
        <w:t xml:space="preserve">derived from </w:t>
      </w:r>
      <w:r w:rsidR="00F62436">
        <w:t>leaching and</w:t>
      </w:r>
      <w:r>
        <w:t xml:space="preserve"> depolymerization of bio</w:t>
      </w:r>
      <w:r w:rsidR="00F62436">
        <w:t>mass</w:t>
      </w:r>
      <w:r>
        <w:t xml:space="preserve">, making it suitable for use in biotechnological and chemical applications, such as fertilizers, bioplastics, and industrial microbiology. The typically HTC operating temperatures result in a sterile aqueous phase, regardless of feedstock contamination, which is particularly suitable for biotechnological applications. So far, HTC has been primarily applied for the production of </w:t>
      </w:r>
      <w:proofErr w:type="spellStart"/>
      <w:r>
        <w:t>hydrochar</w:t>
      </w:r>
      <w:proofErr w:type="spellEnd"/>
      <w:r>
        <w:t xml:space="preserve"> used as soil amendment</w:t>
      </w:r>
      <w:r w:rsidR="00024CD6">
        <w:t xml:space="preserve"> or adsorbent</w:t>
      </w:r>
      <w:r w:rsidR="00F4528B">
        <w:t xml:space="preserve"> </w:t>
      </w:r>
      <w:sdt>
        <w:sdtPr>
          <w:rPr>
            <w:color w:val="000000"/>
          </w:rPr>
          <w:tag w:val="MENDELEY_CITATION_v3_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"/>
          <w:id w:val="-602349608"/>
          <w:placeholder>
            <w:docPart w:val="DefaultPlaceholder_-1854013440"/>
          </w:placeholder>
        </w:sdtPr>
        <w:sdtContent>
          <w:r w:rsidR="00585490" w:rsidRPr="00585490">
            <w:rPr>
              <w:color w:val="000000"/>
            </w:rPr>
            <w:t>(Islam et al., 2021)</w:t>
          </w:r>
        </w:sdtContent>
      </w:sdt>
      <w:r>
        <w:t xml:space="preserve">. To be applied to other industrial applications, reactor operating conditions should be optimized to obtain high yield of the end-product targeted, at minimum costs. </w:t>
      </w:r>
      <w:r w:rsidR="00024CD6">
        <w:t xml:space="preserve">At low reaction times, hydrolysis prevails during HTC, leading to the release of small organic </w:t>
      </w:r>
      <w:r w:rsidR="00024CD6">
        <w:lastRenderedPageBreak/>
        <w:t xml:space="preserve">molecules. At larger reaction times, polymerization prevails leading to an increase in yield of primary and secondary char </w:t>
      </w:r>
      <w:sdt>
        <w:sdtPr>
          <w:rPr>
            <w:color w:val="000000"/>
          </w:rPr>
          <w:tag w:val="MENDELEY_CITATION_v3_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"/>
          <w:id w:val="-1181895659"/>
          <w:placeholder>
            <w:docPart w:val="DefaultPlaceholder_-1854013440"/>
          </w:placeholder>
        </w:sdtPr>
        <w:sdtContent>
          <w:r w:rsidR="00585490" w:rsidRPr="00585490">
            <w:rPr>
              <w:color w:val="000000"/>
            </w:rPr>
            <w:t>(Di Caprio et al., 2022)</w:t>
          </w:r>
        </w:sdtContent>
      </w:sdt>
      <w:r w:rsidR="00024CD6">
        <w:t xml:space="preserve">. </w:t>
      </w:r>
      <w:r w:rsidR="00C673EF">
        <w:t>In the aqueous phase, a</w:t>
      </w:r>
      <w:r w:rsidR="00C673EF" w:rsidRPr="00F62436">
        <w:t>cetate is usually among the predominant organic acids produced, with values ranging between 0.7 and 33 g L</w:t>
      </w:r>
      <w:r w:rsidR="00C673EF" w:rsidRPr="00F62436">
        <w:rPr>
          <w:vertAlign w:val="superscript"/>
        </w:rPr>
        <w:t>−1</w:t>
      </w:r>
      <w:r w:rsidR="00C673EF" w:rsidRPr="00F62436">
        <w:t xml:space="preserve"> (depending on the operative conditions), contributing from 5 to 50% of total organic carbon </w:t>
      </w:r>
      <w:sdt>
        <w:sdtPr>
          <w:rPr>
            <w:color w:val="000000"/>
          </w:rPr>
          <w:tag w:val="MENDELEY_CITATION_v3_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"/>
          <w:id w:val="593832354"/>
          <w:placeholder>
            <w:docPart w:val="DefaultPlaceholder_-1854013440"/>
          </w:placeholder>
        </w:sdtPr>
        <w:sdtContent>
          <w:r w:rsidR="00585490" w:rsidRPr="00585490">
            <w:rPr>
              <w:color w:val="000000"/>
            </w:rPr>
            <w:t>(Stemann et al., 2013)</w:t>
          </w:r>
        </w:sdtContent>
      </w:sdt>
      <w:r w:rsidR="00C673EF" w:rsidRPr="00F62436">
        <w:t>. A fraction of the treated biomass is always missed as CO</w:t>
      </w:r>
      <w:r w:rsidR="00C673EF" w:rsidRPr="00F62436">
        <w:rPr>
          <w:vertAlign w:val="subscript"/>
        </w:rPr>
        <w:t>2</w:t>
      </w:r>
      <w:r w:rsidR="00C673EF" w:rsidRPr="00F62436">
        <w:t xml:space="preserve"> gas</w:t>
      </w:r>
      <w:r w:rsidR="00F4528B">
        <w:t xml:space="preserve"> </w:t>
      </w:r>
      <w:sdt>
        <w:sdtPr>
          <w:rPr>
            <w:color w:val="000000"/>
          </w:rPr>
          <w:tag w:val="MENDELEY_CITATION_v3_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"/>
          <w:id w:val="-308561253"/>
          <w:placeholder>
            <w:docPart w:val="DefaultPlaceholder_-1854013440"/>
          </w:placeholder>
        </w:sdtPr>
        <w:sdtContent>
          <w:r w:rsidR="00585490" w:rsidRPr="00585490">
            <w:rPr>
              <w:color w:val="000000"/>
            </w:rPr>
            <w:t>(Wang et al., 2018)</w:t>
          </w:r>
        </w:sdtContent>
      </w:sdt>
      <w:r w:rsidR="00C673EF">
        <w:t xml:space="preserve">. </w:t>
      </w:r>
      <w:r w:rsidR="00C673EF" w:rsidRPr="00F62436">
        <w:t xml:space="preserve">Other chemicals commonly found in HTC water are formic acid, lactic acid, propionic acid, phenols, </w:t>
      </w:r>
      <w:proofErr w:type="spellStart"/>
      <w:r w:rsidR="00C673EF" w:rsidRPr="00F62436">
        <w:t>hydroxymethylfurfural</w:t>
      </w:r>
      <w:proofErr w:type="spellEnd"/>
      <w:r w:rsidR="00C673EF" w:rsidRPr="00F62436">
        <w:t xml:space="preserve"> (HMF) and furfural, which can have antimicrobial effects on microorganisms</w:t>
      </w:r>
      <w:r w:rsidR="00024CD6">
        <w:t xml:space="preserve"> </w:t>
      </w:r>
      <w:sdt>
        <w:sdtPr>
          <w:rPr>
            <w:color w:val="000000"/>
          </w:rPr>
          <w:tag w:val="MENDELEY_CITATION_v3_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"/>
          <w:id w:val="-806168223"/>
          <w:placeholder>
            <w:docPart w:val="DefaultPlaceholder_-1854013440"/>
          </w:placeholder>
        </w:sdtPr>
        <w:sdtContent>
          <w:r w:rsidR="00585490" w:rsidRPr="00585490">
            <w:rPr>
              <w:color w:val="000000"/>
            </w:rPr>
            <w:t>(Proietti Tocca et al., 2024)</w:t>
          </w:r>
        </w:sdtContent>
      </w:sdt>
      <w:r w:rsidR="00C673EF" w:rsidRPr="00F62436">
        <w:t xml:space="preserve">. Using mild HTC conditions (140-200 °C, 10 – 60 min), the carbonization phase can be minimized, obtaining </w:t>
      </w:r>
      <w:r w:rsidR="009E177A">
        <w:t>larger yields of</w:t>
      </w:r>
      <w:r w:rsidR="00C673EF" w:rsidRPr="00F62436">
        <w:t xml:space="preserve"> end-products deriving from the hydrolysis phase.</w:t>
      </w:r>
    </w:p>
    <w:p w14:paraId="4DFB460D" w14:textId="565DAB65" w:rsidR="00F62436" w:rsidRDefault="00F01B46" w:rsidP="00941327">
      <w:pPr>
        <w:pStyle w:val="CETBodytext"/>
      </w:pPr>
      <w:r>
        <w:t xml:space="preserve">This study explores the valorization </w:t>
      </w:r>
      <w:r w:rsidR="0069699F">
        <w:t xml:space="preserve">potential </w:t>
      </w:r>
      <w:r>
        <w:t>of two agro-industrial by-products</w:t>
      </w:r>
      <w:r w:rsidR="00C673EF">
        <w:t>:</w:t>
      </w:r>
      <w:r>
        <w:t xml:space="preserve"> barley straw and orange peels</w:t>
      </w:r>
      <w:r w:rsidR="00F62436">
        <w:t>. These are two biomasses currently produced as by-products from different agro-industrial sectors.</w:t>
      </w:r>
      <w:r w:rsidR="00941327" w:rsidRPr="00941327">
        <w:t xml:space="preserve"> </w:t>
      </w:r>
      <w:r w:rsidR="00941327">
        <w:t>Orange peels represent a significant source of organic waste, often discarded in large quantities despite their rich content of valuable compounds. The</w:t>
      </w:r>
      <w:r w:rsidR="00524184">
        <w:t>y</w:t>
      </w:r>
      <w:r w:rsidR="00941327">
        <w:t xml:space="preserve"> represent about 50% of the waste of orange from the industrial production of orange juice. Barley is widely used for the production of baked goods and beer</w:t>
      </w:r>
      <w:r w:rsidR="00F47119">
        <w:t xml:space="preserve">. Barley straw is a relevant by-product from barley production, currently employed mainly as feed. </w:t>
      </w:r>
      <w:r w:rsidR="003C3EAC">
        <w:t>HTC could represent an alternative and innovative way to valorize barley straw and orange peels in valuable end-products.</w:t>
      </w:r>
    </w:p>
    <w:p w14:paraId="64A1E133" w14:textId="13BA6A05" w:rsidR="007931FA" w:rsidRPr="00B57B36" w:rsidRDefault="003E2AD9" w:rsidP="00D3127C">
      <w:pPr>
        <w:pStyle w:val="CETBodytext"/>
      </w:pPr>
      <w:r>
        <w:t xml:space="preserve">The objective </w:t>
      </w:r>
      <w:r w:rsidR="003C3EAC">
        <w:t xml:space="preserve">of this study </w:t>
      </w:r>
      <w:r>
        <w:t xml:space="preserve">was to evaluate </w:t>
      </w:r>
      <w:proofErr w:type="spellStart"/>
      <w:r>
        <w:t>hydrochar</w:t>
      </w:r>
      <w:proofErr w:type="spellEnd"/>
      <w:r>
        <w:t xml:space="preserve"> production alongside </w:t>
      </w:r>
      <w:r w:rsidR="0069699F">
        <w:t>with the synthesis of carboxylic acids</w:t>
      </w:r>
      <w:r>
        <w:t xml:space="preserve">, with the latter </w:t>
      </w:r>
      <w:r w:rsidR="0069699F">
        <w:t xml:space="preserve">possible </w:t>
      </w:r>
      <w:r>
        <w:t>serving as feedstock for polyhydroxyalkanoates (PHA)</w:t>
      </w:r>
      <w:r w:rsidR="00524184">
        <w:t xml:space="preserve"> production. PHA are</w:t>
      </w:r>
      <w:r>
        <w:t xml:space="preserve"> a </w:t>
      </w:r>
      <w:r w:rsidR="0069699F">
        <w:t>family</w:t>
      </w:r>
      <w:r>
        <w:t xml:space="preserve"> of microbial polyesters</w:t>
      </w:r>
      <w:r w:rsidR="0069699F">
        <w:t>, both biodegradable and biobased,</w:t>
      </w:r>
      <w:r>
        <w:t xml:space="preserve"> </w:t>
      </w:r>
      <w:r w:rsidR="00524184">
        <w:t>that could replace</w:t>
      </w:r>
      <w:r>
        <w:t xml:space="preserve"> conventional plastics</w:t>
      </w:r>
      <w:r w:rsidR="00524184">
        <w:t xml:space="preserve"> in many applications</w:t>
      </w:r>
      <w:r w:rsidR="00E352A9">
        <w:t xml:space="preserve"> </w:t>
      </w:r>
      <w:sdt>
        <w:sdtPr>
          <w:rPr>
            <w:color w:val="000000"/>
          </w:rPr>
          <w:tag w:val="MENDELEY_CITATION_v3_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"/>
          <w:id w:val="-321818826"/>
          <w:placeholder>
            <w:docPart w:val="DefaultPlaceholder_-1854013440"/>
          </w:placeholder>
        </w:sdtPr>
        <w:sdtContent>
          <w:r w:rsidR="00585490" w:rsidRPr="00585490">
            <w:rPr>
              <w:color w:val="000000"/>
            </w:rPr>
            <w:t>(</w:t>
          </w:r>
          <w:proofErr w:type="spellStart"/>
          <w:r w:rsidR="00585490" w:rsidRPr="00585490">
            <w:rPr>
              <w:color w:val="000000"/>
            </w:rPr>
            <w:t>Acharjee</w:t>
          </w:r>
          <w:proofErr w:type="spellEnd"/>
          <w:r w:rsidR="00585490" w:rsidRPr="00585490">
            <w:rPr>
              <w:color w:val="000000"/>
            </w:rPr>
            <w:t xml:space="preserve"> et al., 2022)</w:t>
          </w:r>
        </w:sdtContent>
      </w:sdt>
      <w:r>
        <w:t>. To this aim</w:t>
      </w:r>
      <w:r w:rsidRPr="003E2AD9">
        <w:t xml:space="preserve"> HTC </w:t>
      </w:r>
      <w:r>
        <w:t xml:space="preserve">was assessed at </w:t>
      </w:r>
      <w:r w:rsidRPr="003E2AD9">
        <w:t>varying reaction times (15–</w:t>
      </w:r>
      <w:r w:rsidR="00900352">
        <w:t>6</w:t>
      </w:r>
      <w:r w:rsidRPr="003E2AD9">
        <w:t>0 min) and temperatures (160–190 °C).</w:t>
      </w:r>
    </w:p>
    <w:p w14:paraId="39082E18" w14:textId="168C79E3" w:rsidR="005428FF" w:rsidRPr="00A31B70" w:rsidRDefault="005428FF" w:rsidP="005428FF">
      <w:pPr>
        <w:pStyle w:val="CETHeading1"/>
        <w:tabs>
          <w:tab w:val="clear" w:pos="360"/>
          <w:tab w:val="right" w:pos="7100"/>
        </w:tabs>
        <w:jc w:val="both"/>
        <w:rPr>
          <w:lang w:val="en-GB"/>
        </w:rPr>
      </w:pPr>
      <w:r>
        <w:rPr>
          <w:lang w:val="en-GB"/>
        </w:rPr>
        <w:t>Materials and methods</w:t>
      </w:r>
    </w:p>
    <w:p w14:paraId="04963A06" w14:textId="42B85E01" w:rsidR="00600535" w:rsidRDefault="00A31B70" w:rsidP="00FA5F5F">
      <w:pPr>
        <w:pStyle w:val="CETheadingx"/>
      </w:pPr>
      <w:r>
        <w:t>Hydrothermal carbonization (HTC) treatment</w:t>
      </w:r>
    </w:p>
    <w:p w14:paraId="47FD21DC" w14:textId="6306B524" w:rsidR="003C63D3" w:rsidRDefault="00A31B70" w:rsidP="00A31B70">
      <w:pPr>
        <w:pStyle w:val="CETBodytext"/>
      </w:pPr>
      <w:r>
        <w:t>Orange peels were frozen, then freeze-dried, cut into small pieces with scissors, and freeze-dried again until moisture content was below 10%. Then they were ground with a blender to obtain a fine powder</w:t>
      </w:r>
      <w:r w:rsidR="004E3A77">
        <w:t xml:space="preserve"> (&lt; 1 mm)</w:t>
      </w:r>
      <w:r>
        <w:t xml:space="preserve">, which was stored into plastic bags. </w:t>
      </w:r>
      <w:r w:rsidR="00A91B00" w:rsidRPr="00A91B00">
        <w:t>Dried barley straw</w:t>
      </w:r>
      <w:r w:rsidR="00A91B00">
        <w:t xml:space="preserve"> was </w:t>
      </w:r>
      <w:r w:rsidR="00A91B00" w:rsidRPr="00A91B00">
        <w:t xml:space="preserve">micronized and sieved to </w:t>
      </w:r>
      <w:r w:rsidR="004E3A77">
        <w:t xml:space="preserve">obtain </w:t>
      </w:r>
      <w:r w:rsidR="00A91B00" w:rsidRPr="00A91B00">
        <w:t>particles</w:t>
      </w:r>
      <w:r w:rsidR="004E3A77">
        <w:t xml:space="preserve"> &lt; 1mm. HTC was performed by mixing 5.0 g of biomass with 20 mL water in a </w:t>
      </w:r>
      <w:r w:rsidR="004E3A77" w:rsidRPr="004E3A77">
        <w:t>100 mL polytetrafluoroethylene (PTFE) vessel.</w:t>
      </w:r>
      <w:r w:rsidR="004E3A77">
        <w:t xml:space="preserve"> </w:t>
      </w:r>
      <w:r w:rsidR="004E3A77" w:rsidRPr="004E3A77">
        <w:t xml:space="preserve">The biomass suspensions were treated at 200 °C for 30 min using the Milestone Laboratory Microwave System </w:t>
      </w:r>
      <w:proofErr w:type="spellStart"/>
      <w:r w:rsidR="004E3A77" w:rsidRPr="004E3A77">
        <w:t>Labstation</w:t>
      </w:r>
      <w:proofErr w:type="spellEnd"/>
      <w:r w:rsidR="004E3A77" w:rsidRPr="004E3A77">
        <w:t>.</w:t>
      </w:r>
      <w:r w:rsidR="004E3A77">
        <w:t xml:space="preserve"> Different experiments were carried out to test the effect of two different temperatures and two different reaction time</w:t>
      </w:r>
      <w:r w:rsidR="00165487">
        <w:t>s</w:t>
      </w:r>
      <w:r w:rsidR="004E3A77">
        <w:t>, in a 2</w:t>
      </w:r>
      <w:r w:rsidR="004E3A77" w:rsidRPr="004E3A77">
        <w:rPr>
          <w:vertAlign w:val="superscript"/>
        </w:rPr>
        <w:t>2</w:t>
      </w:r>
      <w:r w:rsidR="004E3A77">
        <w:t xml:space="preserve"> factorial design (Fi</w:t>
      </w:r>
      <w:r w:rsidR="003C63D3">
        <w:t>gure 1). Each different experimental condition was replicated twice. For each test, the heating time took 5 min, then the vessel was maintained at the prescribed temperature for the prescribe</w:t>
      </w:r>
      <w:r w:rsidR="006E3B3E">
        <w:t>d</w:t>
      </w:r>
      <w:r w:rsidR="003C63D3">
        <w:t xml:space="preserve"> time, and then the vessels were cooled down in 30 min. The solid </w:t>
      </w:r>
      <w:proofErr w:type="spellStart"/>
      <w:r w:rsidR="003C63D3">
        <w:t>hydrochar</w:t>
      </w:r>
      <w:proofErr w:type="spellEnd"/>
      <w:r w:rsidR="003C63D3" w:rsidRPr="003C63D3">
        <w:t xml:space="preserve"> </w:t>
      </w:r>
      <w:r w:rsidR="00165487">
        <w:t xml:space="preserve">produced </w:t>
      </w:r>
      <w:r w:rsidR="003C63D3" w:rsidRPr="003C63D3">
        <w:t xml:space="preserve">was </w:t>
      </w:r>
      <w:r w:rsidR="003C63D3">
        <w:t>separated from the liquid phase</w:t>
      </w:r>
      <w:r w:rsidR="003C63D3" w:rsidRPr="003C63D3">
        <w:t xml:space="preserve"> by vacuum filtration through 8</w:t>
      </w:r>
      <w:r w:rsidR="00165487">
        <w:t>-</w:t>
      </w:r>
      <w:r w:rsidR="003C63D3" w:rsidRPr="003C63D3">
        <w:t xml:space="preserve">12 </w:t>
      </w:r>
      <w:proofErr w:type="spellStart"/>
      <w:r w:rsidR="003C63D3" w:rsidRPr="003C63D3">
        <w:t>μm</w:t>
      </w:r>
      <w:proofErr w:type="spellEnd"/>
      <w:r w:rsidR="003C63D3" w:rsidRPr="003C63D3">
        <w:t xml:space="preserve"> filter paper and </w:t>
      </w:r>
      <w:r w:rsidR="001509E2">
        <w:t>then</w:t>
      </w:r>
      <w:r w:rsidR="003C63D3" w:rsidRPr="003C63D3">
        <w:t xml:space="preserve"> dried at 105 °C. The obtained </w:t>
      </w:r>
      <w:r w:rsidR="001509E2">
        <w:t xml:space="preserve">liquid phases </w:t>
      </w:r>
      <w:r w:rsidR="003C63D3" w:rsidRPr="003C63D3">
        <w:t xml:space="preserve">were stored at </w:t>
      </w:r>
      <w:r w:rsidR="00165487">
        <w:rPr>
          <w:rFonts w:cs="Arial"/>
        </w:rPr>
        <w:t>−</w:t>
      </w:r>
      <w:r w:rsidR="003C63D3" w:rsidRPr="003C63D3">
        <w:t xml:space="preserve">20 °C </w:t>
      </w:r>
      <w:r w:rsidR="001509E2">
        <w:t xml:space="preserve">before analysis. </w:t>
      </w:r>
    </w:p>
    <w:p w14:paraId="4FF3695D" w14:textId="712ED51C" w:rsidR="003C63D3" w:rsidRDefault="00F5658A" w:rsidP="00A31B70">
      <w:pPr>
        <w:pStyle w:val="CETBodytext"/>
      </w:pPr>
      <w:r>
        <w:rPr>
          <w:noProof/>
        </w:rPr>
        <w:drawing>
          <wp:inline distT="0" distB="0" distL="0" distR="0" wp14:anchorId="73C5BE18" wp14:editId="5B2D04D1">
            <wp:extent cx="2489723" cy="1610360"/>
            <wp:effectExtent l="0" t="0" r="6350" b="8890"/>
            <wp:docPr id="11881091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7581" cy="1621910"/>
                    </a:xfrm>
                    <a:prstGeom prst="rect">
                      <a:avLst/>
                    </a:prstGeom>
                    <a:noFill/>
                  </pic:spPr>
                </pic:pic>
              </a:graphicData>
            </a:graphic>
          </wp:inline>
        </w:drawing>
      </w:r>
    </w:p>
    <w:p w14:paraId="57FA8341" w14:textId="6A3E098E" w:rsidR="001509E2" w:rsidRDefault="003C63D3" w:rsidP="00A31B70">
      <w:pPr>
        <w:pStyle w:val="CETBodytext"/>
        <w:rPr>
          <w:i/>
          <w:iCs/>
        </w:rPr>
      </w:pPr>
      <w:r w:rsidRPr="003C63D3">
        <w:rPr>
          <w:i/>
          <w:iCs/>
        </w:rPr>
        <w:t>Figure 1: HTC experimental design.</w:t>
      </w:r>
    </w:p>
    <w:p w14:paraId="794CAC87" w14:textId="77777777" w:rsidR="00D3127C" w:rsidRDefault="00D3127C" w:rsidP="00A31B70">
      <w:pPr>
        <w:pStyle w:val="CETBodytext"/>
        <w:rPr>
          <w:i/>
          <w:iCs/>
        </w:rPr>
      </w:pPr>
    </w:p>
    <w:p w14:paraId="4D633339" w14:textId="7BCA2771" w:rsidR="001509E2" w:rsidRPr="001509E2" w:rsidRDefault="001509E2" w:rsidP="001509E2">
      <w:pPr>
        <w:pStyle w:val="CETBodytext"/>
      </w:pPr>
      <w:r w:rsidRPr="001509E2">
        <w:t xml:space="preserve">The yield of the </w:t>
      </w:r>
      <w:proofErr w:type="spellStart"/>
      <w:r w:rsidRPr="001509E2">
        <w:t>hydrochar</w:t>
      </w:r>
      <w:proofErr w:type="spellEnd"/>
      <w:r w:rsidRPr="001509E2">
        <w:t xml:space="preserve"> sample (Y</w:t>
      </w:r>
      <w:r w:rsidRPr="00CB0FF7">
        <w:rPr>
          <w:vertAlign w:val="subscript"/>
        </w:rPr>
        <w:t>H</w:t>
      </w:r>
      <w:r w:rsidRPr="001509E2">
        <w:t>) was determined by Eq. 1:</w:t>
      </w:r>
    </w:p>
    <w:p w14:paraId="3548448D" w14:textId="4EB7C9EB" w:rsidR="001509E2" w:rsidRPr="001509E2" w:rsidRDefault="00000000" w:rsidP="00D3127C">
      <w:pPr>
        <w:pStyle w:val="CETEquation"/>
      </w:pPr>
      <m:oMath>
        <m:sSub>
          <m:sSubPr>
            <m:ctrlPr>
              <w:rPr>
                <w:rFonts w:ascii="Cambria Math" w:hAnsi="Cambria Math"/>
              </w:rPr>
            </m:ctrlPr>
          </m:sSubPr>
          <m:e>
            <m:r>
              <w:rPr>
                <w:rFonts w:ascii="Cambria Math" w:hAnsi="Cambria Math"/>
              </w:rPr>
              <m:t>Y</m:t>
            </m:r>
          </m:e>
          <m:sub>
            <m:r>
              <w:rPr>
                <w:rFonts w:ascii="Cambria Math" w:hAnsi="Cambria Math"/>
              </w:rPr>
              <m:t>H</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H</m:t>
                </m:r>
              </m:sub>
            </m:sSub>
          </m:num>
          <m:den>
            <m:sSub>
              <m:sSubPr>
                <m:ctrlPr>
                  <w:rPr>
                    <w:rFonts w:ascii="Cambria Math" w:hAnsi="Cambria Math"/>
                  </w:rPr>
                </m:ctrlPr>
              </m:sSubPr>
              <m:e>
                <m:r>
                  <w:rPr>
                    <w:rFonts w:ascii="Cambria Math" w:hAnsi="Cambria Math"/>
                  </w:rPr>
                  <m:t>X</m:t>
                </m:r>
              </m:e>
              <m:sub>
                <m:r>
                  <w:rPr>
                    <w:rFonts w:ascii="Cambria Math" w:hAnsi="Cambria Math"/>
                  </w:rPr>
                  <m:t>B</m:t>
                </m:r>
              </m:sub>
            </m:sSub>
          </m:den>
        </m:f>
      </m:oMath>
      <w:r w:rsidR="001509E2" w:rsidRPr="001509E2">
        <w:t xml:space="preserve">                                                                                                                                                            (1)</w:t>
      </w:r>
    </w:p>
    <w:p w14:paraId="69B2777D" w14:textId="7C125689" w:rsidR="001509E2" w:rsidRDefault="001509E2" w:rsidP="001509E2">
      <w:pPr>
        <w:pStyle w:val="CETBodytext"/>
      </w:pPr>
      <w:r w:rsidRPr="001509E2">
        <w:t>With X</w:t>
      </w:r>
      <w:r w:rsidRPr="004F401E">
        <w:rPr>
          <w:vertAlign w:val="subscript"/>
        </w:rPr>
        <w:t>H</w:t>
      </w:r>
      <w:r w:rsidRPr="001509E2">
        <w:t xml:space="preserve"> the mass of the recovered </w:t>
      </w:r>
      <w:proofErr w:type="spellStart"/>
      <w:r w:rsidRPr="001509E2">
        <w:t>hydrochar</w:t>
      </w:r>
      <w:proofErr w:type="spellEnd"/>
      <w:r w:rsidRPr="001509E2">
        <w:t xml:space="preserve"> and X</w:t>
      </w:r>
      <w:r w:rsidRPr="004F401E">
        <w:rPr>
          <w:vertAlign w:val="subscript"/>
        </w:rPr>
        <w:t>B</w:t>
      </w:r>
      <w:r w:rsidRPr="001509E2">
        <w:t xml:space="preserve"> the initial biomass.</w:t>
      </w:r>
    </w:p>
    <w:p w14:paraId="6E0B8B7C" w14:textId="11F7139B" w:rsidR="005E78B3" w:rsidRDefault="005E78B3" w:rsidP="005E78B3">
      <w:pPr>
        <w:pStyle w:val="CETBodytext"/>
      </w:pPr>
      <w:r>
        <w:t xml:space="preserve">Based on the carbon content inside </w:t>
      </w:r>
      <w:proofErr w:type="spellStart"/>
      <w:r>
        <w:t>hydrochar</w:t>
      </w:r>
      <w:proofErr w:type="spellEnd"/>
      <w:r>
        <w:t xml:space="preserve"> (%</w:t>
      </w:r>
      <w:r w:rsidRPr="005E78B3">
        <w:rPr>
          <w:vertAlign w:val="subscript"/>
        </w:rPr>
        <w:t>C,H</w:t>
      </w:r>
      <w:r>
        <w:t>) and raw biomass (%</w:t>
      </w:r>
      <w:r w:rsidRPr="005E78B3">
        <w:rPr>
          <w:vertAlign w:val="subscript"/>
        </w:rPr>
        <w:t>C,B</w:t>
      </w:r>
      <w:r>
        <w:t>), t</w:t>
      </w:r>
      <w:r w:rsidR="00CB0FF7">
        <w:t>he carbon yield (Y</w:t>
      </w:r>
      <w:r w:rsidR="00CB0FF7" w:rsidRPr="005E78B3">
        <w:rPr>
          <w:vertAlign w:val="subscript"/>
        </w:rPr>
        <w:t>C,H</w:t>
      </w:r>
      <w:r w:rsidR="00CB0FF7">
        <w:t xml:space="preserve">) </w:t>
      </w:r>
      <w:r w:rsidRPr="001509E2">
        <w:t xml:space="preserve">was determined by Eq. </w:t>
      </w:r>
      <w:r>
        <w:t>2</w:t>
      </w:r>
      <w:r w:rsidRPr="001509E2">
        <w:t>:</w:t>
      </w:r>
    </w:p>
    <w:p w14:paraId="483B4DC4" w14:textId="0D83BD05" w:rsidR="00CB0FF7" w:rsidRPr="001509E2" w:rsidRDefault="00000000" w:rsidP="00D3127C">
      <w:pPr>
        <w:pStyle w:val="CETEquation"/>
      </w:pPr>
      <m:oMath>
        <m:sSub>
          <m:sSubPr>
            <m:ctrlPr>
              <w:rPr>
                <w:rFonts w:ascii="Cambria Math" w:hAnsi="Cambria Math"/>
              </w:rPr>
            </m:ctrlPr>
          </m:sSubPr>
          <m:e>
            <m:r>
              <w:rPr>
                <w:rFonts w:ascii="Cambria Math" w:hAnsi="Cambria Math"/>
              </w:rPr>
              <m:t>Y</m:t>
            </m:r>
          </m:e>
          <m:sub>
            <m:r>
              <w:rPr>
                <w:rFonts w:ascii="Cambria Math" w:hAnsi="Cambria Math"/>
              </w:rPr>
              <m:t>C,H</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C,H</m:t>
                </m:r>
              </m:sub>
            </m:sSub>
          </m:num>
          <m:den>
            <m:sSub>
              <m:sSubPr>
                <m:ctrlPr>
                  <w:rPr>
                    <w:rFonts w:ascii="Cambria Math" w:hAnsi="Cambria Math"/>
                  </w:rPr>
                </m:ctrlPr>
              </m:sSubPr>
              <m:e>
                <m:r>
                  <w:rPr>
                    <w:rFonts w:ascii="Cambria Math" w:hAnsi="Cambria Math"/>
                  </w:rPr>
                  <m:t>X</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C,B</m:t>
                </m:r>
              </m:sub>
            </m:sSub>
          </m:den>
        </m:f>
      </m:oMath>
      <w:r w:rsidR="005E78B3" w:rsidRPr="001509E2">
        <w:t xml:space="preserve">                                                                                                          </w:t>
      </w:r>
      <w:r w:rsidR="005E78B3">
        <w:t xml:space="preserve">       </w:t>
      </w:r>
      <w:r w:rsidR="005E78B3" w:rsidRPr="001509E2">
        <w:t xml:space="preserve">                                  (</w:t>
      </w:r>
      <w:r w:rsidR="005E78B3">
        <w:t>2</w:t>
      </w:r>
      <w:r w:rsidR="005E78B3" w:rsidRPr="001509E2">
        <w:t>)</w:t>
      </w:r>
    </w:p>
    <w:p w14:paraId="1827534A" w14:textId="7248BF72" w:rsidR="00A31B70" w:rsidRDefault="00E2317B" w:rsidP="00FA5F5F">
      <w:pPr>
        <w:pStyle w:val="CETheadingx"/>
      </w:pPr>
      <w:r>
        <w:lastRenderedPageBreak/>
        <w:t>Chemical characterizations</w:t>
      </w:r>
    </w:p>
    <w:p w14:paraId="336F5A41" w14:textId="6201DE8C" w:rsidR="00BF6285" w:rsidRDefault="00E2317B" w:rsidP="00E2317B">
      <w:pPr>
        <w:pStyle w:val="CETBodytext"/>
        <w:rPr>
          <w:color w:val="000000"/>
        </w:rPr>
      </w:pPr>
      <w:proofErr w:type="spellStart"/>
      <w:r w:rsidRPr="00E2317B">
        <w:t>Hydrochar</w:t>
      </w:r>
      <w:proofErr w:type="spellEnd"/>
      <w:r w:rsidRPr="00E2317B">
        <w:t xml:space="preserve"> elemental composition was determined by CHNS analysis carried out by an elemental analyzer (EA 1110 CHNS/O)</w:t>
      </w:r>
      <w:r>
        <w:t xml:space="preserve">. Total phenols in the water extract were determined </w:t>
      </w:r>
      <w:r w:rsidRPr="00E2317B">
        <w:t xml:space="preserve">as </w:t>
      </w:r>
      <w:proofErr w:type="spellStart"/>
      <w:r w:rsidRPr="00E2317B">
        <w:t>tyrosol</w:t>
      </w:r>
      <w:proofErr w:type="spellEnd"/>
      <w:r w:rsidRPr="00E2317B">
        <w:t xml:space="preserve"> equivalents by the Folin-</w:t>
      </w:r>
      <w:proofErr w:type="spellStart"/>
      <w:r w:rsidRPr="00E2317B">
        <w:t>Ciocalteau</w:t>
      </w:r>
      <w:proofErr w:type="spellEnd"/>
      <w:r w:rsidRPr="00E2317B">
        <w:t xml:space="preserve"> method</w:t>
      </w:r>
      <w:r>
        <w:t xml:space="preserve"> </w:t>
      </w:r>
      <w:sdt>
        <w:sdtPr>
          <w:rPr>
            <w:color w:val="000000"/>
          </w:rPr>
          <w:tag w:val="MENDELEY_CITATION_v3_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"/>
          <w:id w:val="-852887426"/>
          <w:placeholder>
            <w:docPart w:val="286111FE02DF443999FB421D93BC0A19"/>
          </w:placeholder>
        </w:sdtPr>
        <w:sdtContent>
          <w:r w:rsidR="00585490" w:rsidRPr="00585490">
            <w:rPr>
              <w:color w:val="000000"/>
            </w:rPr>
            <w:t>(Di Caprio et al., 2021)</w:t>
          </w:r>
        </w:sdtContent>
      </w:sdt>
      <w:r w:rsidR="009E2DB5">
        <w:rPr>
          <w:color w:val="000000"/>
        </w:rPr>
        <w:t xml:space="preserve">. </w:t>
      </w:r>
      <w:r w:rsidR="00900352">
        <w:rPr>
          <w:color w:val="000000"/>
        </w:rPr>
        <w:t xml:space="preserve">Soluble </w:t>
      </w:r>
      <w:r w:rsidR="005727C1">
        <w:rPr>
          <w:color w:val="000000"/>
        </w:rPr>
        <w:t xml:space="preserve">COD was determined by using </w:t>
      </w:r>
      <w:r w:rsidR="0089696D">
        <w:rPr>
          <w:color w:val="000000"/>
        </w:rPr>
        <w:t xml:space="preserve">a commercial kit from </w:t>
      </w:r>
      <w:proofErr w:type="spellStart"/>
      <w:r w:rsidR="00900352" w:rsidRPr="00900352">
        <w:rPr>
          <w:color w:val="000000"/>
        </w:rPr>
        <w:t>Macherey</w:t>
      </w:r>
      <w:proofErr w:type="spellEnd"/>
      <w:r w:rsidR="00900352" w:rsidRPr="00900352">
        <w:rPr>
          <w:color w:val="000000"/>
        </w:rPr>
        <w:t xml:space="preserve"> Nagel</w:t>
      </w:r>
      <w:r w:rsidR="0089696D">
        <w:rPr>
          <w:color w:val="000000"/>
        </w:rPr>
        <w:t xml:space="preserve"> (</w:t>
      </w:r>
      <w:r w:rsidR="00900352">
        <w:rPr>
          <w:color w:val="000000"/>
        </w:rPr>
        <w:t>100</w:t>
      </w:r>
      <w:r w:rsidR="0089696D">
        <w:rPr>
          <w:color w:val="000000"/>
        </w:rPr>
        <w:t xml:space="preserve"> </w:t>
      </w:r>
      <w:r w:rsidR="006E2E23">
        <w:rPr>
          <w:color w:val="000000"/>
        </w:rPr>
        <w:t>-</w:t>
      </w:r>
      <w:r w:rsidR="0089696D">
        <w:rPr>
          <w:color w:val="000000"/>
        </w:rPr>
        <w:t xml:space="preserve"> 1,500 mg</w:t>
      </w:r>
      <w:r w:rsidR="005F67C9">
        <w:rPr>
          <w:color w:val="000000"/>
        </w:rPr>
        <w:t xml:space="preserve"> </w:t>
      </w:r>
      <w:r w:rsidR="0089696D">
        <w:rPr>
          <w:color w:val="000000"/>
        </w:rPr>
        <w:t>L</w:t>
      </w:r>
      <w:r w:rsidR="005F67C9" w:rsidRPr="005F67C9">
        <w:rPr>
          <w:color w:val="000000"/>
          <w:vertAlign w:val="superscript"/>
        </w:rPr>
        <w:t>-1</w:t>
      </w:r>
      <w:r w:rsidR="0089696D">
        <w:rPr>
          <w:color w:val="000000"/>
        </w:rPr>
        <w:t>), incubating samples for 2 h at 148 °C, reading the absorbance at 610 nm after 45 min of cooling. Total carbohydrates in the water extract were determined by using the phenol-sulfuric acid method (Dubois method): 1 mL of 5% phenol solution and 5 mL of 96% sulfuric acid were added to 2 mL sample, mixed</w:t>
      </w:r>
      <w:r w:rsidR="00CE2013">
        <w:rPr>
          <w:color w:val="000000"/>
        </w:rPr>
        <w:t xml:space="preserve">, cooled 10 min at environmental temperature and 10 min in a water bath at 27 °C, then absorbance </w:t>
      </w:r>
      <w:r w:rsidR="006E2E23">
        <w:rPr>
          <w:color w:val="000000"/>
        </w:rPr>
        <w:t xml:space="preserve">was </w:t>
      </w:r>
      <w:r w:rsidR="00CE2013">
        <w:rPr>
          <w:color w:val="000000"/>
        </w:rPr>
        <w:t xml:space="preserve">read at 490 nm and quantification made using a calibration line obtained with glucose. </w:t>
      </w:r>
      <w:r w:rsidR="00CE2013" w:rsidRPr="00CE2013">
        <w:rPr>
          <w:color w:val="000000"/>
        </w:rPr>
        <w:t>The concentration of carboxylic acids (e.g., acetic acid, propionic acid, butyric acid) in the extracts w</w:t>
      </w:r>
      <w:r w:rsidR="006E2E23">
        <w:rPr>
          <w:color w:val="000000"/>
        </w:rPr>
        <w:t>as</w:t>
      </w:r>
      <w:r w:rsidR="00CE2013" w:rsidRPr="00CE2013">
        <w:rPr>
          <w:color w:val="000000"/>
        </w:rPr>
        <w:t xml:space="preserve"> determined using a Dani Master gas chromatograph equipped with </w:t>
      </w:r>
      <w:r w:rsidR="00CE2013">
        <w:rPr>
          <w:color w:val="000000"/>
        </w:rPr>
        <w:t xml:space="preserve">a </w:t>
      </w:r>
      <w:r w:rsidR="00CE2013" w:rsidRPr="00CE2013">
        <w:rPr>
          <w:color w:val="000000"/>
        </w:rPr>
        <w:t>4% Carbowax 20M,</w:t>
      </w:r>
      <w:r w:rsidR="00CE2013">
        <w:rPr>
          <w:color w:val="000000"/>
        </w:rPr>
        <w:t xml:space="preserve"> </w:t>
      </w:r>
      <w:r w:rsidR="00CE2013" w:rsidRPr="00CE2013">
        <w:rPr>
          <w:color w:val="000000"/>
        </w:rPr>
        <w:t xml:space="preserve">80/120 </w:t>
      </w:r>
      <w:proofErr w:type="spellStart"/>
      <w:r w:rsidR="00CE2013" w:rsidRPr="00CE2013">
        <w:rPr>
          <w:color w:val="000000"/>
        </w:rPr>
        <w:t>Carbopack</w:t>
      </w:r>
      <w:proofErr w:type="spellEnd"/>
      <w:r w:rsidR="00CE2013" w:rsidRPr="00CE2013">
        <w:rPr>
          <w:color w:val="000000"/>
        </w:rPr>
        <w:t xml:space="preserve"> B</w:t>
      </w:r>
      <w:r w:rsidR="00CE2013">
        <w:rPr>
          <w:color w:val="000000"/>
        </w:rPr>
        <w:t>-</w:t>
      </w:r>
      <w:r w:rsidR="00CE2013" w:rsidRPr="00CE2013">
        <w:rPr>
          <w:color w:val="000000"/>
        </w:rPr>
        <w:t>DA</w:t>
      </w:r>
      <w:r w:rsidR="00CE2013">
        <w:rPr>
          <w:color w:val="000000"/>
        </w:rPr>
        <w:t xml:space="preserve"> and a</w:t>
      </w:r>
      <w:r w:rsidR="00CE2013" w:rsidRPr="00CE2013">
        <w:rPr>
          <w:color w:val="000000"/>
        </w:rPr>
        <w:t xml:space="preserve"> flame ionization detector (FID).</w:t>
      </w:r>
      <w:r w:rsidR="005F67C9">
        <w:rPr>
          <w:color w:val="000000"/>
        </w:rPr>
        <w:t xml:space="preserve"> The column was maintained at 175 °C and eluted with 25 mL min</w:t>
      </w:r>
      <w:r w:rsidR="005F67C9" w:rsidRPr="005F67C9">
        <w:rPr>
          <w:color w:val="000000"/>
          <w:vertAlign w:val="superscript"/>
        </w:rPr>
        <w:t>-1</w:t>
      </w:r>
      <w:r w:rsidR="005F67C9">
        <w:rPr>
          <w:color w:val="000000"/>
        </w:rPr>
        <w:t xml:space="preserve"> </w:t>
      </w:r>
      <w:r w:rsidR="00972ED1">
        <w:rPr>
          <w:color w:val="000000"/>
        </w:rPr>
        <w:t>nitrogen</w:t>
      </w:r>
      <w:r w:rsidR="005F67C9">
        <w:rPr>
          <w:color w:val="000000"/>
        </w:rPr>
        <w:t xml:space="preserve">. </w:t>
      </w:r>
      <w:r w:rsidR="00F543ED" w:rsidRPr="00F543ED">
        <w:rPr>
          <w:color w:val="000000"/>
        </w:rPr>
        <w:t xml:space="preserve">Analysis of PHA (i.e., poly-3-hydroxybutyrate-3-hydroxyvalerate-3-hydroxyhexanoate) was performed </w:t>
      </w:r>
      <w:r w:rsidR="0042188B">
        <w:rPr>
          <w:color w:val="000000"/>
        </w:rPr>
        <w:t>during the respirometr</w:t>
      </w:r>
      <w:r w:rsidR="00D66D0E">
        <w:rPr>
          <w:color w:val="000000"/>
        </w:rPr>
        <w:t>y</w:t>
      </w:r>
      <w:r w:rsidR="0042188B">
        <w:rPr>
          <w:color w:val="000000"/>
        </w:rPr>
        <w:t xml:space="preserve"> test </w:t>
      </w:r>
      <w:r w:rsidR="00F543ED" w:rsidRPr="00F543ED">
        <w:rPr>
          <w:color w:val="000000"/>
        </w:rPr>
        <w:t xml:space="preserve">by collecting 5 mL of </w:t>
      </w:r>
      <w:r w:rsidR="00900352">
        <w:rPr>
          <w:color w:val="000000"/>
        </w:rPr>
        <w:t>reactor mixed liquor</w:t>
      </w:r>
      <w:r w:rsidR="00F543ED" w:rsidRPr="00F543ED">
        <w:rPr>
          <w:color w:val="000000"/>
        </w:rPr>
        <w:t xml:space="preserve"> at regular intervals and immediately adding 1 mL of sodium hypochlorite (</w:t>
      </w:r>
      <w:proofErr w:type="spellStart"/>
      <w:r w:rsidR="00F543ED" w:rsidRPr="00F543ED">
        <w:rPr>
          <w:color w:val="000000"/>
        </w:rPr>
        <w:t>NaClO</w:t>
      </w:r>
      <w:proofErr w:type="spellEnd"/>
      <w:r w:rsidR="00F543ED" w:rsidRPr="00F543ED">
        <w:rPr>
          <w:color w:val="000000"/>
        </w:rPr>
        <w:t xml:space="preserve">) solution to degrade the cell wall of microorganisms and avoid the microbial consumption of the stored polymer. For the polymer analysis, an acid-catalyzed </w:t>
      </w:r>
      <w:proofErr w:type="spellStart"/>
      <w:r w:rsidR="00F543ED" w:rsidRPr="00F543ED">
        <w:rPr>
          <w:color w:val="000000"/>
        </w:rPr>
        <w:t>methanolysis</w:t>
      </w:r>
      <w:proofErr w:type="spellEnd"/>
      <w:r w:rsidR="00F543ED" w:rsidRPr="00F543ED">
        <w:rPr>
          <w:color w:val="000000"/>
        </w:rPr>
        <w:t xml:space="preserve"> was performed using methanol acidified with H</w:t>
      </w:r>
      <w:r w:rsidR="00F543ED" w:rsidRPr="00F543ED">
        <w:rPr>
          <w:color w:val="000000"/>
          <w:vertAlign w:val="subscript"/>
        </w:rPr>
        <w:t>2</w:t>
      </w:r>
      <w:r w:rsidR="00F543ED" w:rsidRPr="00F543ED">
        <w:rPr>
          <w:color w:val="000000"/>
        </w:rPr>
        <w:t>SO</w:t>
      </w:r>
      <w:r w:rsidR="00F543ED" w:rsidRPr="00F543ED">
        <w:rPr>
          <w:color w:val="000000"/>
          <w:vertAlign w:val="subscript"/>
        </w:rPr>
        <w:t>4</w:t>
      </w:r>
      <w:r w:rsidR="00F543ED" w:rsidRPr="00F543ED">
        <w:rPr>
          <w:color w:val="000000"/>
        </w:rPr>
        <w:t xml:space="preserve"> at 3% (v/v)</w:t>
      </w:r>
      <w:r w:rsidR="00A51D5C">
        <w:rPr>
          <w:color w:val="000000"/>
        </w:rPr>
        <w:t xml:space="preserve"> </w:t>
      </w:r>
      <w:sdt>
        <w:sdtPr>
          <w:rPr>
            <w:color w:val="000000"/>
          </w:rPr>
          <w:tag w:val="MENDELEY_CITATION_v3_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"/>
          <w:id w:val="1241528210"/>
          <w:placeholder>
            <w:docPart w:val="DefaultPlaceholder_-1854013440"/>
          </w:placeholder>
        </w:sdtPr>
        <w:sdtContent>
          <w:r w:rsidR="00585490" w:rsidRPr="00585490">
            <w:rPr>
              <w:color w:val="000000"/>
            </w:rPr>
            <w:t>(</w:t>
          </w:r>
          <w:proofErr w:type="spellStart"/>
          <w:r w:rsidR="00585490" w:rsidRPr="00585490">
            <w:rPr>
              <w:color w:val="000000"/>
            </w:rPr>
            <w:t>Braunegg</w:t>
          </w:r>
          <w:proofErr w:type="spellEnd"/>
          <w:r w:rsidR="00585490" w:rsidRPr="00585490">
            <w:rPr>
              <w:color w:val="000000"/>
            </w:rPr>
            <w:t xml:space="preserve"> et al., 1978)</w:t>
          </w:r>
        </w:sdtContent>
      </w:sdt>
      <w:r w:rsidR="00F543ED" w:rsidRPr="00F543ED">
        <w:rPr>
          <w:color w:val="000000"/>
        </w:rPr>
        <w:t>. An Agilent 8860 gas chromatograph equipped with FID was used for the PHA analysis.</w:t>
      </w:r>
    </w:p>
    <w:p w14:paraId="05370DD5" w14:textId="6A79ECF9" w:rsidR="00BF6285" w:rsidRDefault="00BF6285" w:rsidP="00BF6285">
      <w:pPr>
        <w:pStyle w:val="CETheadingx"/>
        <w:rPr>
          <w:lang w:eastAsia="en-GB"/>
        </w:rPr>
      </w:pPr>
      <w:r w:rsidRPr="00BF6285">
        <w:rPr>
          <w:lang w:eastAsia="en-GB"/>
        </w:rPr>
        <w:t>Respirometry tests</w:t>
      </w:r>
    </w:p>
    <w:p w14:paraId="0B5D5027" w14:textId="354ED448" w:rsidR="00BF6285" w:rsidRDefault="00BF6285" w:rsidP="00E2317B">
      <w:pPr>
        <w:pStyle w:val="CETBodytext"/>
        <w:rPr>
          <w:lang w:eastAsia="en-GB"/>
        </w:rPr>
      </w:pPr>
      <w:r w:rsidRPr="00BF6285">
        <w:rPr>
          <w:lang w:eastAsia="en-GB"/>
        </w:rPr>
        <w:t xml:space="preserve">To conduct these tests, 500 mL of biomass was collected from the Famine reactor of a </w:t>
      </w:r>
      <w:r w:rsidR="00A33718">
        <w:rPr>
          <w:lang w:eastAsia="en-GB"/>
        </w:rPr>
        <w:t xml:space="preserve">continuous </w:t>
      </w:r>
      <w:r w:rsidRPr="00BF6285">
        <w:rPr>
          <w:lang w:eastAsia="en-GB"/>
        </w:rPr>
        <w:t xml:space="preserve">process dedicated to PHA production </w:t>
      </w:r>
      <w:r w:rsidR="00A33718">
        <w:rPr>
          <w:lang w:eastAsia="en-GB"/>
        </w:rPr>
        <w:t>with</w:t>
      </w:r>
      <w:r w:rsidRPr="00BF6285">
        <w:rPr>
          <w:lang w:eastAsia="en-GB"/>
        </w:rPr>
        <w:t xml:space="preserve"> mixed microbial cultures (MMC) </w:t>
      </w:r>
      <w:sdt>
        <w:sdtPr>
          <w:rPr>
            <w:color w:val="000000"/>
            <w:lang w:eastAsia="en-GB"/>
          </w:rPr>
          <w:tag w:val="MENDELEY_CITATION_v3_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"/>
          <w:id w:val="-881861764"/>
          <w:placeholder>
            <w:docPart w:val="DefaultPlaceholder_-1854013440"/>
          </w:placeholder>
        </w:sdtPr>
        <w:sdtContent>
          <w:r w:rsidR="00585490" w:rsidRPr="00585490">
            <w:rPr>
              <w:color w:val="000000"/>
              <w:lang w:eastAsia="en-GB"/>
            </w:rPr>
            <w:t>(</w:t>
          </w:r>
          <w:proofErr w:type="spellStart"/>
          <w:r w:rsidR="00585490" w:rsidRPr="00585490">
            <w:rPr>
              <w:color w:val="000000"/>
              <w:lang w:eastAsia="en-GB"/>
            </w:rPr>
            <w:t>Tayou</w:t>
          </w:r>
          <w:proofErr w:type="spellEnd"/>
          <w:r w:rsidR="00585490" w:rsidRPr="00585490">
            <w:rPr>
              <w:color w:val="000000"/>
              <w:lang w:eastAsia="en-GB"/>
            </w:rPr>
            <w:t xml:space="preserve"> </w:t>
          </w:r>
          <w:proofErr w:type="spellStart"/>
          <w:r w:rsidR="00585490" w:rsidRPr="00585490">
            <w:rPr>
              <w:color w:val="000000"/>
              <w:lang w:eastAsia="en-GB"/>
            </w:rPr>
            <w:t>Nguemna</w:t>
          </w:r>
          <w:proofErr w:type="spellEnd"/>
          <w:r w:rsidR="00585490" w:rsidRPr="00585490">
            <w:rPr>
              <w:color w:val="000000"/>
              <w:lang w:eastAsia="en-GB"/>
            </w:rPr>
            <w:t xml:space="preserve"> et al., 2023)</w:t>
          </w:r>
        </w:sdtContent>
      </w:sdt>
      <w:r w:rsidRPr="00BF6285">
        <w:rPr>
          <w:lang w:eastAsia="en-GB"/>
        </w:rPr>
        <w:t>. The collected biomass was left overnight under continuous stirring and aeration to remove any residual organic matter. The oxygen consumption rate due to the endogenous metabolism (</w:t>
      </w:r>
      <w:proofErr w:type="spellStart"/>
      <w:r w:rsidRPr="00BF6285">
        <w:rPr>
          <w:i/>
          <w:lang w:eastAsia="en-GB"/>
        </w:rPr>
        <w:t>r</w:t>
      </w:r>
      <w:r w:rsidRPr="00BF6285">
        <w:rPr>
          <w:vertAlign w:val="subscript"/>
          <w:lang w:eastAsia="en-GB"/>
        </w:rPr>
        <w:t>Oend</w:t>
      </w:r>
      <w:proofErr w:type="spellEnd"/>
      <w:r w:rsidRPr="00BF6285">
        <w:rPr>
          <w:lang w:eastAsia="en-GB"/>
        </w:rPr>
        <w:t>) as well as the oxygen transfer coefficient (</w:t>
      </w:r>
      <w:proofErr w:type="spellStart"/>
      <w:r w:rsidRPr="00BF6285">
        <w:rPr>
          <w:lang w:eastAsia="en-GB"/>
        </w:rPr>
        <w:t>K</w:t>
      </w:r>
      <w:r w:rsidRPr="00BF6285">
        <w:rPr>
          <w:vertAlign w:val="subscript"/>
          <w:lang w:eastAsia="en-GB"/>
        </w:rPr>
        <w:t>L</w:t>
      </w:r>
      <w:r w:rsidRPr="00BF6285">
        <w:rPr>
          <w:lang w:eastAsia="en-GB"/>
        </w:rPr>
        <w:t>a</w:t>
      </w:r>
      <w:proofErr w:type="spellEnd"/>
      <w:r w:rsidRPr="00BF6285">
        <w:rPr>
          <w:lang w:eastAsia="en-GB"/>
        </w:rPr>
        <w:t xml:space="preserve">) were predetermined before starting the tests. During the tests, spikes of acetic acid and HTC </w:t>
      </w:r>
      <w:r w:rsidR="00A33718">
        <w:rPr>
          <w:lang w:eastAsia="en-GB"/>
        </w:rPr>
        <w:t xml:space="preserve">liquid </w:t>
      </w:r>
      <w:r w:rsidRPr="00BF6285">
        <w:rPr>
          <w:lang w:eastAsia="en-GB"/>
        </w:rPr>
        <w:t xml:space="preserve">extracts were subsequently supplied at a concentration of approximately 0.55 </w:t>
      </w:r>
      <w:proofErr w:type="spellStart"/>
      <w:r w:rsidRPr="00BF6285">
        <w:rPr>
          <w:lang w:eastAsia="en-GB"/>
        </w:rPr>
        <w:t>g</w:t>
      </w:r>
      <w:r w:rsidRPr="00BF6285">
        <w:rPr>
          <w:vertAlign w:val="subscript"/>
          <w:lang w:eastAsia="en-GB"/>
        </w:rPr>
        <w:t>COD</w:t>
      </w:r>
      <w:proofErr w:type="spellEnd"/>
      <w:r w:rsidR="006E2E23">
        <w:rPr>
          <w:lang w:eastAsia="en-GB"/>
        </w:rPr>
        <w:t xml:space="preserve"> </w:t>
      </w:r>
      <w:r w:rsidRPr="00BF6285">
        <w:rPr>
          <w:lang w:eastAsia="en-GB"/>
        </w:rPr>
        <w:t>L</w:t>
      </w:r>
      <w:r w:rsidR="006E2E23" w:rsidRPr="006E2E23">
        <w:rPr>
          <w:vertAlign w:val="superscript"/>
          <w:lang w:eastAsia="en-GB"/>
        </w:rPr>
        <w:t>-1</w:t>
      </w:r>
      <w:r w:rsidRPr="00BF6285">
        <w:rPr>
          <w:lang w:eastAsia="en-GB"/>
        </w:rPr>
        <w:t xml:space="preserve">. A further addition of acetic acid was provided after approximately one day from the beginning of the tests, to verify the ability of the microbial population to retain its biological activity also in presence of </w:t>
      </w:r>
      <w:r w:rsidR="00FA0BDD" w:rsidRPr="00BF6285">
        <w:rPr>
          <w:lang w:eastAsia="en-GB"/>
        </w:rPr>
        <w:t>non-degraded</w:t>
      </w:r>
      <w:r w:rsidRPr="00BF6285">
        <w:rPr>
          <w:lang w:eastAsia="en-GB"/>
        </w:rPr>
        <w:t xml:space="preserve"> HTC extracts. During the tests, samples were collected at different intervals of time to perform chemical analysis for the determination of acids, COD, and PHA. The dissolved oxygen (DO) concentration was continuously monitored throughout the test by means of a DO probe</w:t>
      </w:r>
      <w:r w:rsidR="00BC3DB4">
        <w:rPr>
          <w:lang w:eastAsia="en-GB"/>
        </w:rPr>
        <w:t xml:space="preserve"> </w:t>
      </w:r>
      <w:proofErr w:type="spellStart"/>
      <w:r w:rsidR="00A33718" w:rsidRPr="00A33718">
        <w:rPr>
          <w:lang w:eastAsia="en-GB"/>
        </w:rPr>
        <w:t>ProfiLine</w:t>
      </w:r>
      <w:proofErr w:type="spellEnd"/>
      <w:r w:rsidR="00A33718" w:rsidRPr="00A33718">
        <w:rPr>
          <w:lang w:eastAsia="en-GB"/>
        </w:rPr>
        <w:t xml:space="preserve"> Oxi 3310 (WTW).</w:t>
      </w:r>
    </w:p>
    <w:p w14:paraId="386A5CC9" w14:textId="21C255B3" w:rsidR="001B7D2B" w:rsidRDefault="001B7D2B" w:rsidP="001B7D2B">
      <w:pPr>
        <w:pStyle w:val="CETheadingx"/>
        <w:rPr>
          <w:lang w:eastAsia="en-GB"/>
        </w:rPr>
      </w:pPr>
      <w:r>
        <w:rPr>
          <w:lang w:eastAsia="en-GB"/>
        </w:rPr>
        <w:t>Data analysis</w:t>
      </w:r>
    </w:p>
    <w:p w14:paraId="6B34D64D" w14:textId="17A9DE52" w:rsidR="00A31B70" w:rsidRPr="00E2317B" w:rsidRDefault="00FF1123" w:rsidP="00A31B70">
      <w:pPr>
        <w:pStyle w:val="CETBodytext"/>
        <w:rPr>
          <w:lang w:eastAsia="en-GB"/>
        </w:rPr>
      </w:pPr>
      <w:r>
        <w:rPr>
          <w:lang w:eastAsia="en-GB"/>
        </w:rPr>
        <w:t>E</w:t>
      </w:r>
      <w:r w:rsidR="001B7D2B">
        <w:rPr>
          <w:lang w:eastAsia="en-GB"/>
        </w:rPr>
        <w:t xml:space="preserve">xperiments were conducted in duplicate. Significant difference among samples were tested by analysis of variance (ANOVA) in Microsoft Office Excel, considering </w:t>
      </w:r>
      <w:r w:rsidR="001B7D2B">
        <w:rPr>
          <w:rFonts w:cs="Arial"/>
          <w:lang w:eastAsia="en-GB"/>
        </w:rPr>
        <w:t>α</w:t>
      </w:r>
      <w:r w:rsidR="001B7D2B">
        <w:rPr>
          <w:lang w:eastAsia="en-GB"/>
        </w:rPr>
        <w:t xml:space="preserve"> = 0.05. </w:t>
      </w:r>
      <w:r w:rsidR="0029012C">
        <w:rPr>
          <w:lang w:eastAsia="en-GB"/>
        </w:rPr>
        <w:t xml:space="preserve">Errors are indicated as </w:t>
      </w:r>
      <w:r w:rsidR="0029012C">
        <w:rPr>
          <w:rFonts w:cs="Arial"/>
          <w:lang w:eastAsia="en-GB"/>
        </w:rPr>
        <w:t>±</w:t>
      </w:r>
      <w:r w:rsidR="0029012C">
        <w:rPr>
          <w:lang w:eastAsia="en-GB"/>
        </w:rPr>
        <w:t xml:space="preserve"> standard deviation.</w:t>
      </w:r>
    </w:p>
    <w:p w14:paraId="1F96CA21" w14:textId="054092B1" w:rsidR="00600535" w:rsidRDefault="00051FAC" w:rsidP="00051FAC">
      <w:pPr>
        <w:pStyle w:val="CETHeading1"/>
      </w:pPr>
      <w:r>
        <w:t>Results and discussion</w:t>
      </w:r>
    </w:p>
    <w:p w14:paraId="34986D49" w14:textId="096DE999" w:rsidR="006208E3" w:rsidRDefault="006208E3" w:rsidP="006208E3">
      <w:pPr>
        <w:pStyle w:val="CETheadingx"/>
        <w:rPr>
          <w:lang w:eastAsia="en-GB"/>
        </w:rPr>
      </w:pPr>
      <w:r>
        <w:rPr>
          <w:lang w:eastAsia="en-GB"/>
        </w:rPr>
        <w:t>Hydrothermal carbonization of orange peels and barley straw</w:t>
      </w:r>
    </w:p>
    <w:p w14:paraId="14C5937D" w14:textId="41443CED" w:rsidR="00DF724D" w:rsidRPr="006208E3" w:rsidRDefault="006208E3" w:rsidP="006208E3">
      <w:pPr>
        <w:pStyle w:val="CETBodytext"/>
      </w:pPr>
      <w:r>
        <w:t xml:space="preserve">Temperature and reaction time are two </w:t>
      </w:r>
      <w:r w:rsidR="009C2E19">
        <w:t xml:space="preserve">operating </w:t>
      </w:r>
      <w:r>
        <w:t>parameters</w:t>
      </w:r>
      <w:r w:rsidR="009C2E19">
        <w:t xml:space="preserve"> with high</w:t>
      </w:r>
      <w:r>
        <w:t xml:space="preserve"> impact on the HTC process. </w:t>
      </w:r>
      <w:r w:rsidR="00D462A7">
        <w:t>The ranges between 160 - 190 °C and between 15 - 60 min were set</w:t>
      </w:r>
      <w:r w:rsidR="009C2E19">
        <w:t xml:space="preserve"> </w:t>
      </w:r>
      <w:r w:rsidR="00405472">
        <w:t xml:space="preserve">in this study </w:t>
      </w:r>
      <w:r w:rsidR="009C2E19">
        <w:t xml:space="preserve">to improve the release of small organic molecules in the </w:t>
      </w:r>
      <w:r w:rsidR="00D462A7">
        <w:t xml:space="preserve">water phase, </w:t>
      </w:r>
      <w:r w:rsidR="006303F8">
        <w:t>available</w:t>
      </w:r>
      <w:r w:rsidR="00D462A7">
        <w:t xml:space="preserve"> for microbial fermentation.</w:t>
      </w:r>
      <w:r w:rsidR="00C57267">
        <w:t xml:space="preserve"> Indeed, short reaction times and low temperature should improve the release of hydrolytic products over condensation reactions </w:t>
      </w:r>
      <w:sdt>
        <w:sdtPr>
          <w:rPr>
            <w:color w:val="000000"/>
          </w:rPr>
          <w:tag w:val="MENDELEY_CITATION_v3_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"/>
          <w:id w:val="-561635529"/>
          <w:placeholder>
            <w:docPart w:val="DefaultPlaceholder_-1854013440"/>
          </w:placeholder>
        </w:sdtPr>
        <w:sdtContent>
          <w:r w:rsidR="00585490" w:rsidRPr="00585490">
            <w:rPr>
              <w:color w:val="000000"/>
            </w:rPr>
            <w:t>(Di Caprio et al., 2022)</w:t>
          </w:r>
        </w:sdtContent>
      </w:sdt>
      <w:r w:rsidR="00C57267">
        <w:t>.</w:t>
      </w:r>
      <w:r w:rsidR="00D462A7">
        <w:t xml:space="preserve"> Total organic molecules, measured as COD, were released in the water phase at concentrations between </w:t>
      </w:r>
      <w:r w:rsidR="00E2633D">
        <w:t>22</w:t>
      </w:r>
      <w:r w:rsidR="00D462A7">
        <w:t xml:space="preserve"> - 161 g L</w:t>
      </w:r>
      <w:r w:rsidR="00D462A7" w:rsidRPr="00D462A7">
        <w:rPr>
          <w:vertAlign w:val="superscript"/>
        </w:rPr>
        <w:t>-1</w:t>
      </w:r>
      <w:r w:rsidR="00D462A7">
        <w:t xml:space="preserve">, with the highest values attained for </w:t>
      </w:r>
      <w:r w:rsidR="00405472">
        <w:t xml:space="preserve">orange peels at </w:t>
      </w:r>
      <w:r w:rsidR="00D462A7">
        <w:t>short</w:t>
      </w:r>
      <w:r w:rsidR="00405472">
        <w:t>er</w:t>
      </w:r>
      <w:r w:rsidR="00D462A7">
        <w:t xml:space="preserve"> reaction times and low</w:t>
      </w:r>
      <w:r w:rsidR="00405472">
        <w:t>er</w:t>
      </w:r>
      <w:r w:rsidR="00D462A7">
        <w:t xml:space="preserve"> temperatures (Figure 2). </w:t>
      </w:r>
      <w:r w:rsidR="00C251C9">
        <w:t xml:space="preserve">For both biomasses there was even a significant interaction between temperature and reaction time on the release of COD. </w:t>
      </w:r>
      <w:r w:rsidR="00405472">
        <w:t>Orange peels also showed higher releases of carbohydrates and phenols.</w:t>
      </w:r>
      <w:r w:rsidR="00477466">
        <w:t xml:space="preserve"> Also</w:t>
      </w:r>
      <w:r w:rsidR="00D34080">
        <w:t xml:space="preserve"> for carbohydrates and phenols, orange peels allow the achievement of higher concentrations. </w:t>
      </w:r>
      <w:r w:rsidR="00405472">
        <w:t xml:space="preserve">Released carbohydrates ranged between </w:t>
      </w:r>
      <w:r w:rsidR="00D34080">
        <w:t>6 and 47 g L</w:t>
      </w:r>
      <w:r w:rsidR="00D34080" w:rsidRPr="00D34080">
        <w:rPr>
          <w:vertAlign w:val="superscript"/>
        </w:rPr>
        <w:t>-1</w:t>
      </w:r>
      <w:r w:rsidR="00D34080">
        <w:t>, with higher concentrations achieved with orange peels. Higher carbohydrate concentrations were attained at higher reaction times at 160 °C and at lower reaction times at 190 °C (Figure 2). Th</w:t>
      </w:r>
      <w:r w:rsidR="00347EDF">
        <w:t>ese</w:t>
      </w:r>
      <w:r w:rsidR="00E2633D">
        <w:t xml:space="preserve"> </w:t>
      </w:r>
      <w:r w:rsidR="00D34080">
        <w:t>results indicate that it should be found a compromise between reaction time and temperature to allow sufficient release but avoiding excessive degradation of carbohydrates. Phenols ranged between 1.9 and 5.5 g L</w:t>
      </w:r>
      <w:r w:rsidR="00D34080" w:rsidRPr="00D34080">
        <w:rPr>
          <w:vertAlign w:val="superscript"/>
        </w:rPr>
        <w:t>-1</w:t>
      </w:r>
      <w:r w:rsidR="00D34080">
        <w:t xml:space="preserve">, with higher concentrations at lower temperatures, without significant effect of reaction time. </w:t>
      </w:r>
    </w:p>
    <w:p w14:paraId="3F614C00" w14:textId="0B75856B" w:rsidR="006C7F4C" w:rsidRDefault="00615212" w:rsidP="006C7F4C">
      <w:pPr>
        <w:pStyle w:val="CETBodytext"/>
      </w:pPr>
      <w:r>
        <w:rPr>
          <w:noProof/>
        </w:rPr>
        <w:lastRenderedPageBreak/>
        <w:drawing>
          <wp:inline distT="0" distB="0" distL="0" distR="0" wp14:anchorId="3AFA8120" wp14:editId="6F57FD29">
            <wp:extent cx="6149006" cy="3393758"/>
            <wp:effectExtent l="0" t="0" r="0" b="0"/>
            <wp:docPr id="108171128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1306" cy="3400547"/>
                    </a:xfrm>
                    <a:prstGeom prst="rect">
                      <a:avLst/>
                    </a:prstGeom>
                    <a:noFill/>
                  </pic:spPr>
                </pic:pic>
              </a:graphicData>
            </a:graphic>
          </wp:inline>
        </w:drawing>
      </w:r>
    </w:p>
    <w:p w14:paraId="4DCD8A42" w14:textId="22B1BB27" w:rsidR="00D462A7" w:rsidRDefault="00D462A7" w:rsidP="00D462A7">
      <w:pPr>
        <w:pStyle w:val="CETBodytext"/>
        <w:rPr>
          <w:i/>
          <w:iCs/>
        </w:rPr>
      </w:pPr>
      <w:r w:rsidRPr="003C63D3">
        <w:rPr>
          <w:i/>
          <w:iCs/>
        </w:rPr>
        <w:t xml:space="preserve">Figure </w:t>
      </w:r>
      <w:r>
        <w:rPr>
          <w:i/>
          <w:iCs/>
        </w:rPr>
        <w:t>2</w:t>
      </w:r>
      <w:r w:rsidRPr="003C63D3">
        <w:rPr>
          <w:i/>
          <w:iCs/>
        </w:rPr>
        <w:t xml:space="preserve">: </w:t>
      </w:r>
      <w:r>
        <w:rPr>
          <w:i/>
          <w:iCs/>
        </w:rPr>
        <w:t>Release of carbohydrates, phenols and COD in the process water after HTC treatment</w:t>
      </w:r>
      <w:r w:rsidR="00615212">
        <w:rPr>
          <w:i/>
          <w:iCs/>
        </w:rPr>
        <w:t xml:space="preserve"> of orange peels (a, b, c) and barley straw (d, e, f). p-values from ANOVA are reported</w:t>
      </w:r>
      <w:r w:rsidR="00477466">
        <w:rPr>
          <w:i/>
          <w:iCs/>
        </w:rPr>
        <w:t xml:space="preserve"> to assess the effect of temperature, time and interaction.</w:t>
      </w:r>
    </w:p>
    <w:p w14:paraId="1F9FBACA" w14:textId="77777777" w:rsidR="00D462A7" w:rsidRDefault="00D462A7" w:rsidP="006C7F4C">
      <w:pPr>
        <w:pStyle w:val="CETBodytext"/>
      </w:pPr>
    </w:p>
    <w:p w14:paraId="398D06B7" w14:textId="4FD6AC4D" w:rsidR="00DF724D" w:rsidRDefault="00DF724D" w:rsidP="006C7F4C">
      <w:pPr>
        <w:pStyle w:val="CETBodytext"/>
      </w:pPr>
      <w:r>
        <w:t>The higher release of organic compounds from orange peels is likely due to a higher content of soluble carbohydrates in orange peels (</w:t>
      </w:r>
      <w:r w:rsidR="00477466">
        <w:t xml:space="preserve">as </w:t>
      </w:r>
      <w:r>
        <w:t xml:space="preserve">simple sugars, pectin, hemicellulose) than in barley straw, mostly made of cellulose. </w:t>
      </w:r>
    </w:p>
    <w:p w14:paraId="21E23E0D" w14:textId="122BC3CD" w:rsidR="006C7F4C" w:rsidRPr="006C7F4C" w:rsidRDefault="00DF724D" w:rsidP="006C7F4C">
      <w:pPr>
        <w:pStyle w:val="CETBodytext"/>
      </w:pPr>
      <w:r>
        <w:t xml:space="preserve">Solid </w:t>
      </w:r>
      <w:proofErr w:type="spellStart"/>
      <w:r>
        <w:t>hydrochar</w:t>
      </w:r>
      <w:proofErr w:type="spellEnd"/>
      <w:r>
        <w:t xml:space="preserve"> obtained were also analyzed and results reported in Table 1. Orange peels gave lower </w:t>
      </w:r>
      <w:proofErr w:type="spellStart"/>
      <w:r>
        <w:t>hydrochar</w:t>
      </w:r>
      <w:proofErr w:type="spellEnd"/>
      <w:r>
        <w:t xml:space="preserve"> yield and lower C yield as </w:t>
      </w:r>
      <w:proofErr w:type="spellStart"/>
      <w:r>
        <w:t>hydrochar</w:t>
      </w:r>
      <w:proofErr w:type="spellEnd"/>
      <w:r>
        <w:t xml:space="preserve"> than barley straw, in agreement with the higher release of organic compounds in the water phase. In all </w:t>
      </w:r>
      <w:proofErr w:type="spellStart"/>
      <w:r>
        <w:t>hydrochar</w:t>
      </w:r>
      <w:proofErr w:type="spellEnd"/>
      <w:r>
        <w:t xml:space="preserve"> samples there was an increase in C and N content, and a decrease in H and O content, due to de-hydration reactions occurring during carbonization. For both orange peels and barley straw, higher C content</w:t>
      </w:r>
      <w:r w:rsidR="00C57267">
        <w:t>,</w:t>
      </w:r>
      <w:r>
        <w:t xml:space="preserve"> lower H and O contents</w:t>
      </w:r>
      <w:r w:rsidR="00C57267">
        <w:t xml:space="preserve">, and lower </w:t>
      </w:r>
      <w:proofErr w:type="spellStart"/>
      <w:r w:rsidR="00C57267">
        <w:t>hydrochar</w:t>
      </w:r>
      <w:proofErr w:type="spellEnd"/>
      <w:r w:rsidR="00C57267">
        <w:t xml:space="preserve"> yield</w:t>
      </w:r>
      <w:r>
        <w:t xml:space="preserve"> were achieved </w:t>
      </w:r>
      <w:r w:rsidR="00A776B6">
        <w:t>with the samples treated at higher reaction time and temperature, in agreement with previous results on other biomasses</w:t>
      </w:r>
      <w:r w:rsidR="00C57267">
        <w:t xml:space="preserve"> </w:t>
      </w:r>
      <w:sdt>
        <w:sdtPr>
          <w:rPr>
            <w:color w:val="000000"/>
          </w:rPr>
          <w:tag w:val="MENDELEY_CITATION_v3_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"/>
          <w:id w:val="1609238087"/>
          <w:placeholder>
            <w:docPart w:val="DefaultPlaceholder_-1854013440"/>
          </w:placeholder>
        </w:sdtPr>
        <w:sdtContent>
          <w:r w:rsidR="00585490" w:rsidRPr="00585490">
            <w:rPr>
              <w:color w:val="000000"/>
            </w:rPr>
            <w:t>(Hoekman et al., 2011)</w:t>
          </w:r>
        </w:sdtContent>
      </w:sdt>
      <w:r w:rsidR="00A776B6">
        <w:t xml:space="preserve">. </w:t>
      </w:r>
    </w:p>
    <w:p w14:paraId="6A5167CF" w14:textId="2E92C0DF" w:rsidR="00600535" w:rsidRPr="00B57B36" w:rsidRDefault="00600535" w:rsidP="00600535">
      <w:pPr>
        <w:pStyle w:val="CETTabletitle"/>
      </w:pPr>
      <w:r w:rsidRPr="00B57B36">
        <w:t xml:space="preserve">Table 1: </w:t>
      </w:r>
      <w:r w:rsidR="0029012C">
        <w:t>Elemental composition, Y</w:t>
      </w:r>
      <w:r w:rsidR="0029012C" w:rsidRPr="0029012C">
        <w:rPr>
          <w:vertAlign w:val="subscript"/>
        </w:rPr>
        <w:t>H</w:t>
      </w:r>
      <w:r w:rsidR="0029012C">
        <w:t xml:space="preserve"> and Y</w:t>
      </w:r>
      <w:r w:rsidR="0029012C" w:rsidRPr="0029012C">
        <w:rPr>
          <w:vertAlign w:val="subscript"/>
        </w:rPr>
        <w:t>C,H</w:t>
      </w:r>
      <w:r w:rsidR="0029012C">
        <w:t xml:space="preserve"> for the</w:t>
      </w:r>
      <w:r w:rsidR="00CB0FF7">
        <w:t xml:space="preserve"> </w:t>
      </w:r>
      <w:r w:rsidR="0029012C">
        <w:t xml:space="preserve">different </w:t>
      </w:r>
      <w:proofErr w:type="spellStart"/>
      <w:r w:rsidR="00477466">
        <w:t>hydrochar</w:t>
      </w:r>
      <w:proofErr w:type="spellEnd"/>
      <w:r w:rsidR="00477466">
        <w:t xml:space="preserve"> </w:t>
      </w:r>
      <w:r w:rsidR="0029012C">
        <w:t>samples produced from orange peels (</w:t>
      </w:r>
      <w:r w:rsidR="00CB0FF7">
        <w:t>HC</w:t>
      </w:r>
      <w:r w:rsidR="0029012C" w:rsidRPr="00CB0FF7">
        <w:rPr>
          <w:vertAlign w:val="subscript"/>
        </w:rPr>
        <w:t>OP</w:t>
      </w:r>
      <w:r w:rsidR="0029012C">
        <w:t>) and barley straw (</w:t>
      </w:r>
      <w:r w:rsidR="00CB0FF7">
        <w:t>HC</w:t>
      </w:r>
      <w:r w:rsidR="0029012C" w:rsidRPr="00CB0FF7">
        <w:rPr>
          <w:vertAlign w:val="subscript"/>
        </w:rPr>
        <w:t>BS</w:t>
      </w:r>
      <w:r w:rsidR="0029012C">
        <w:t>) at different temperature</w:t>
      </w:r>
      <w:r w:rsidR="00CB0FF7">
        <w:t>s</w:t>
      </w:r>
      <w:r w:rsidR="0029012C">
        <w:t xml:space="preserve"> </w:t>
      </w:r>
      <w:r w:rsidR="00A33718">
        <w:t xml:space="preserve">(160 or 190 °C) </w:t>
      </w:r>
      <w:r w:rsidR="0029012C">
        <w:t>and reaction time</w:t>
      </w:r>
      <w:r w:rsidR="00CB0FF7">
        <w:t>s</w:t>
      </w:r>
      <w:r w:rsidR="00A33718">
        <w:t xml:space="preserve"> (15 or 60 min)</w:t>
      </w:r>
      <w:r w:rsidR="0029012C">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992"/>
        <w:gridCol w:w="1134"/>
        <w:gridCol w:w="1134"/>
        <w:gridCol w:w="1134"/>
        <w:gridCol w:w="1134"/>
        <w:gridCol w:w="1134"/>
      </w:tblGrid>
      <w:tr w:rsidR="0093643F" w:rsidRPr="00B57B36" w14:paraId="4B29AA51" w14:textId="5C816A49" w:rsidTr="000528F5">
        <w:tc>
          <w:tcPr>
            <w:tcW w:w="1276" w:type="dxa"/>
            <w:tcBorders>
              <w:top w:val="single" w:sz="12" w:space="0" w:color="008000"/>
              <w:bottom w:val="single" w:sz="6" w:space="0" w:color="008000"/>
            </w:tcBorders>
            <w:shd w:val="clear" w:color="auto" w:fill="FFFFFF"/>
          </w:tcPr>
          <w:p w14:paraId="500859EC" w14:textId="063FC67D" w:rsidR="0093643F" w:rsidRPr="00B57B36" w:rsidRDefault="0093643F" w:rsidP="000528F5">
            <w:pPr>
              <w:pStyle w:val="CETBodytext"/>
              <w:jc w:val="center"/>
              <w:rPr>
                <w:lang w:val="en-GB"/>
              </w:rPr>
            </w:pPr>
          </w:p>
        </w:tc>
        <w:tc>
          <w:tcPr>
            <w:tcW w:w="992" w:type="dxa"/>
            <w:tcBorders>
              <w:top w:val="single" w:sz="12" w:space="0" w:color="008000"/>
              <w:bottom w:val="single" w:sz="6" w:space="0" w:color="008000"/>
            </w:tcBorders>
            <w:shd w:val="clear" w:color="auto" w:fill="FFFFFF"/>
          </w:tcPr>
          <w:p w14:paraId="6B6E97E3" w14:textId="070BBDF0" w:rsidR="0093643F" w:rsidRPr="00B57B36" w:rsidRDefault="00A35283" w:rsidP="000528F5">
            <w:pPr>
              <w:pStyle w:val="CETBodytext"/>
              <w:jc w:val="center"/>
              <w:rPr>
                <w:lang w:val="en-GB"/>
              </w:rPr>
            </w:pPr>
            <w:r>
              <w:rPr>
                <w:lang w:val="en-GB"/>
              </w:rPr>
              <w:t>C (%)</w:t>
            </w:r>
          </w:p>
        </w:tc>
        <w:tc>
          <w:tcPr>
            <w:tcW w:w="1134" w:type="dxa"/>
            <w:tcBorders>
              <w:top w:val="single" w:sz="12" w:space="0" w:color="008000"/>
              <w:bottom w:val="single" w:sz="6" w:space="0" w:color="008000"/>
            </w:tcBorders>
            <w:shd w:val="clear" w:color="auto" w:fill="FFFFFF"/>
          </w:tcPr>
          <w:p w14:paraId="0CC5C18D" w14:textId="5DB86BC8" w:rsidR="0093643F" w:rsidRPr="00B57B36" w:rsidRDefault="00A35283" w:rsidP="000528F5">
            <w:pPr>
              <w:pStyle w:val="CETBodytext"/>
              <w:jc w:val="center"/>
              <w:rPr>
                <w:lang w:val="en-GB"/>
              </w:rPr>
            </w:pPr>
            <w:r>
              <w:rPr>
                <w:lang w:val="en-GB"/>
              </w:rPr>
              <w:t>H (%)</w:t>
            </w:r>
          </w:p>
        </w:tc>
        <w:tc>
          <w:tcPr>
            <w:tcW w:w="1134" w:type="dxa"/>
            <w:tcBorders>
              <w:top w:val="single" w:sz="12" w:space="0" w:color="008000"/>
              <w:bottom w:val="single" w:sz="6" w:space="0" w:color="008000"/>
            </w:tcBorders>
            <w:shd w:val="clear" w:color="auto" w:fill="FFFFFF"/>
          </w:tcPr>
          <w:p w14:paraId="199EE8DC" w14:textId="4F29EE1F" w:rsidR="0093643F" w:rsidRPr="00B57B36" w:rsidRDefault="00A35283" w:rsidP="000528F5">
            <w:pPr>
              <w:pStyle w:val="CETBodytext"/>
              <w:ind w:right="-1"/>
              <w:jc w:val="center"/>
              <w:rPr>
                <w:rFonts w:cs="Arial"/>
                <w:szCs w:val="18"/>
                <w:lang w:val="en-GB"/>
              </w:rPr>
            </w:pPr>
            <w:r>
              <w:rPr>
                <w:rFonts w:cs="Arial"/>
                <w:szCs w:val="18"/>
                <w:lang w:val="en-GB"/>
              </w:rPr>
              <w:t>N (%)</w:t>
            </w:r>
          </w:p>
        </w:tc>
        <w:tc>
          <w:tcPr>
            <w:tcW w:w="1134" w:type="dxa"/>
            <w:tcBorders>
              <w:top w:val="single" w:sz="12" w:space="0" w:color="008000"/>
              <w:bottom w:val="single" w:sz="6" w:space="0" w:color="008000"/>
            </w:tcBorders>
            <w:shd w:val="clear" w:color="auto" w:fill="FFFFFF"/>
          </w:tcPr>
          <w:p w14:paraId="005800F7" w14:textId="3A049EDA" w:rsidR="0093643F" w:rsidRPr="00B57B36" w:rsidRDefault="00A35283" w:rsidP="000528F5">
            <w:pPr>
              <w:pStyle w:val="CETBodytext"/>
              <w:ind w:right="-1"/>
              <w:jc w:val="center"/>
              <w:rPr>
                <w:rFonts w:cs="Arial"/>
                <w:szCs w:val="18"/>
                <w:lang w:val="en-GB"/>
              </w:rPr>
            </w:pPr>
            <w:r>
              <w:rPr>
                <w:rFonts w:cs="Arial"/>
                <w:szCs w:val="18"/>
                <w:lang w:val="en-GB"/>
              </w:rPr>
              <w:t>O (%)</w:t>
            </w:r>
          </w:p>
        </w:tc>
        <w:tc>
          <w:tcPr>
            <w:tcW w:w="1134" w:type="dxa"/>
            <w:tcBorders>
              <w:top w:val="single" w:sz="12" w:space="0" w:color="008000"/>
              <w:bottom w:val="single" w:sz="6" w:space="0" w:color="008000"/>
            </w:tcBorders>
            <w:shd w:val="clear" w:color="auto" w:fill="FFFFFF"/>
          </w:tcPr>
          <w:p w14:paraId="09230BE3" w14:textId="72164AFA" w:rsidR="0093643F" w:rsidRPr="00B57B36" w:rsidRDefault="00A35283" w:rsidP="000528F5">
            <w:pPr>
              <w:pStyle w:val="CETBodytext"/>
              <w:ind w:right="-1"/>
              <w:jc w:val="center"/>
              <w:rPr>
                <w:rFonts w:cs="Arial"/>
                <w:szCs w:val="18"/>
                <w:lang w:val="en-GB"/>
              </w:rPr>
            </w:pPr>
            <w:r>
              <w:rPr>
                <w:rFonts w:cs="Arial"/>
                <w:szCs w:val="18"/>
                <w:lang w:val="en-GB"/>
              </w:rPr>
              <w:t>Y</w:t>
            </w:r>
            <w:r w:rsidRPr="00A35283">
              <w:rPr>
                <w:rFonts w:cs="Arial"/>
                <w:szCs w:val="18"/>
                <w:vertAlign w:val="subscript"/>
                <w:lang w:val="en-GB"/>
              </w:rPr>
              <w:t>H</w:t>
            </w:r>
            <w:r>
              <w:rPr>
                <w:rFonts w:cs="Arial"/>
                <w:szCs w:val="18"/>
                <w:lang w:val="en-GB"/>
              </w:rPr>
              <w:t xml:space="preserve"> (%)</w:t>
            </w:r>
          </w:p>
        </w:tc>
        <w:tc>
          <w:tcPr>
            <w:tcW w:w="1134" w:type="dxa"/>
            <w:tcBorders>
              <w:top w:val="single" w:sz="12" w:space="0" w:color="008000"/>
              <w:bottom w:val="single" w:sz="6" w:space="0" w:color="008000"/>
            </w:tcBorders>
            <w:shd w:val="clear" w:color="auto" w:fill="FFFFFF"/>
          </w:tcPr>
          <w:p w14:paraId="6BD74C22" w14:textId="5C6D0C70" w:rsidR="0093643F" w:rsidRPr="00B57B36" w:rsidRDefault="00A35283" w:rsidP="000528F5">
            <w:pPr>
              <w:pStyle w:val="CETBodytext"/>
              <w:ind w:right="-1"/>
              <w:jc w:val="center"/>
              <w:rPr>
                <w:rFonts w:cs="Arial"/>
                <w:szCs w:val="18"/>
                <w:lang w:val="en-GB"/>
              </w:rPr>
            </w:pPr>
            <w:r>
              <w:rPr>
                <w:rFonts w:cs="Arial"/>
                <w:szCs w:val="18"/>
                <w:lang w:val="en-GB"/>
              </w:rPr>
              <w:t>Y</w:t>
            </w:r>
            <w:r w:rsidRPr="00A35283">
              <w:rPr>
                <w:rFonts w:cs="Arial"/>
                <w:szCs w:val="18"/>
                <w:vertAlign w:val="subscript"/>
                <w:lang w:val="en-GB"/>
              </w:rPr>
              <w:t xml:space="preserve">C,H </w:t>
            </w:r>
            <w:r>
              <w:rPr>
                <w:rFonts w:cs="Arial"/>
                <w:szCs w:val="18"/>
                <w:lang w:val="en-GB"/>
              </w:rPr>
              <w:t>(%)</w:t>
            </w:r>
          </w:p>
        </w:tc>
      </w:tr>
      <w:tr w:rsidR="0093643F" w:rsidRPr="00B57B36" w14:paraId="18FA68DB" w14:textId="3D90977B" w:rsidTr="000528F5">
        <w:tc>
          <w:tcPr>
            <w:tcW w:w="1276" w:type="dxa"/>
            <w:shd w:val="clear" w:color="auto" w:fill="FFFFFF"/>
          </w:tcPr>
          <w:p w14:paraId="1877D42D" w14:textId="752FAF64" w:rsidR="0093643F" w:rsidRPr="00B57B36" w:rsidRDefault="00A35283" w:rsidP="00507B47">
            <w:pPr>
              <w:pStyle w:val="CETBodytext"/>
              <w:rPr>
                <w:lang w:val="en-GB"/>
              </w:rPr>
            </w:pPr>
            <w:r>
              <w:rPr>
                <w:lang w:val="en-GB"/>
              </w:rPr>
              <w:t>Orange peels</w:t>
            </w:r>
          </w:p>
        </w:tc>
        <w:tc>
          <w:tcPr>
            <w:tcW w:w="992" w:type="dxa"/>
            <w:shd w:val="clear" w:color="auto" w:fill="FFFFFF"/>
          </w:tcPr>
          <w:p w14:paraId="48136FAE" w14:textId="163DF0F8" w:rsidR="0093643F" w:rsidRPr="00B57B36" w:rsidRDefault="000528F5" w:rsidP="000528F5">
            <w:pPr>
              <w:pStyle w:val="CETBodytext"/>
              <w:jc w:val="center"/>
              <w:rPr>
                <w:lang w:val="en-GB"/>
              </w:rPr>
            </w:pPr>
            <w:r>
              <w:rPr>
                <w:lang w:val="en-GB"/>
              </w:rPr>
              <w:t>41</w:t>
            </w:r>
          </w:p>
        </w:tc>
        <w:tc>
          <w:tcPr>
            <w:tcW w:w="1134" w:type="dxa"/>
            <w:shd w:val="clear" w:color="auto" w:fill="FFFFFF"/>
          </w:tcPr>
          <w:p w14:paraId="2CB03BEE" w14:textId="63E48760" w:rsidR="0093643F" w:rsidRPr="00B57B36" w:rsidRDefault="000528F5" w:rsidP="000528F5">
            <w:pPr>
              <w:pStyle w:val="CETBodytext"/>
              <w:jc w:val="center"/>
              <w:rPr>
                <w:lang w:val="en-GB"/>
              </w:rPr>
            </w:pPr>
            <w:r>
              <w:rPr>
                <w:lang w:val="en-GB"/>
              </w:rPr>
              <w:t>6.61</w:t>
            </w:r>
          </w:p>
        </w:tc>
        <w:tc>
          <w:tcPr>
            <w:tcW w:w="1134" w:type="dxa"/>
            <w:shd w:val="clear" w:color="auto" w:fill="FFFFFF"/>
          </w:tcPr>
          <w:p w14:paraId="7FF7EB81" w14:textId="3759A4E1" w:rsidR="0093643F" w:rsidRPr="00B57B36" w:rsidRDefault="000528F5" w:rsidP="000528F5">
            <w:pPr>
              <w:pStyle w:val="CETBodytext"/>
              <w:ind w:right="-1"/>
              <w:jc w:val="center"/>
              <w:rPr>
                <w:rFonts w:cs="Arial"/>
                <w:szCs w:val="18"/>
                <w:lang w:val="en-GB"/>
              </w:rPr>
            </w:pPr>
            <w:r>
              <w:rPr>
                <w:rFonts w:cs="Arial"/>
                <w:szCs w:val="18"/>
                <w:lang w:val="en-GB"/>
              </w:rPr>
              <w:t>0.82</w:t>
            </w:r>
          </w:p>
        </w:tc>
        <w:tc>
          <w:tcPr>
            <w:tcW w:w="1134" w:type="dxa"/>
            <w:shd w:val="clear" w:color="auto" w:fill="FFFFFF"/>
          </w:tcPr>
          <w:p w14:paraId="6512B018" w14:textId="6506650E" w:rsidR="0093643F" w:rsidRPr="00B57B36" w:rsidRDefault="000528F5" w:rsidP="000528F5">
            <w:pPr>
              <w:pStyle w:val="CETBodytext"/>
              <w:ind w:right="-1"/>
              <w:jc w:val="center"/>
              <w:rPr>
                <w:rFonts w:cs="Arial"/>
                <w:szCs w:val="18"/>
                <w:lang w:val="en-GB"/>
              </w:rPr>
            </w:pPr>
            <w:r>
              <w:rPr>
                <w:rFonts w:cs="Arial"/>
                <w:szCs w:val="18"/>
                <w:lang w:val="en-GB"/>
              </w:rPr>
              <w:t>52</w:t>
            </w:r>
          </w:p>
        </w:tc>
        <w:tc>
          <w:tcPr>
            <w:tcW w:w="1134" w:type="dxa"/>
            <w:shd w:val="clear" w:color="auto" w:fill="FFFFFF"/>
          </w:tcPr>
          <w:p w14:paraId="2D2C53BF" w14:textId="415FB875" w:rsidR="0093643F" w:rsidRPr="00B57B36" w:rsidRDefault="000528F5" w:rsidP="000528F5">
            <w:pPr>
              <w:pStyle w:val="CETBodytext"/>
              <w:ind w:right="-1"/>
              <w:jc w:val="center"/>
              <w:rPr>
                <w:rFonts w:cs="Arial"/>
                <w:szCs w:val="18"/>
                <w:lang w:val="en-GB"/>
              </w:rPr>
            </w:pPr>
            <w:r>
              <w:rPr>
                <w:rFonts w:cs="Arial"/>
                <w:szCs w:val="18"/>
                <w:lang w:val="en-GB"/>
              </w:rPr>
              <w:t>-</w:t>
            </w:r>
          </w:p>
        </w:tc>
        <w:tc>
          <w:tcPr>
            <w:tcW w:w="1134" w:type="dxa"/>
            <w:shd w:val="clear" w:color="auto" w:fill="FFFFFF"/>
          </w:tcPr>
          <w:p w14:paraId="6F102F82" w14:textId="10342956" w:rsidR="0093643F" w:rsidRPr="00B57B36" w:rsidRDefault="000528F5" w:rsidP="000528F5">
            <w:pPr>
              <w:pStyle w:val="CETBodytext"/>
              <w:ind w:right="-1"/>
              <w:jc w:val="center"/>
              <w:rPr>
                <w:rFonts w:cs="Arial"/>
                <w:szCs w:val="18"/>
                <w:lang w:val="en-GB"/>
              </w:rPr>
            </w:pPr>
            <w:r>
              <w:rPr>
                <w:rFonts w:cs="Arial"/>
                <w:szCs w:val="18"/>
                <w:lang w:val="en-GB"/>
              </w:rPr>
              <w:t>-</w:t>
            </w:r>
          </w:p>
        </w:tc>
      </w:tr>
      <w:tr w:rsidR="0093643F" w:rsidRPr="00B57B36" w14:paraId="1777C522" w14:textId="5AFB88A8" w:rsidTr="000528F5">
        <w:tc>
          <w:tcPr>
            <w:tcW w:w="1276" w:type="dxa"/>
            <w:shd w:val="clear" w:color="auto" w:fill="FFFFFF"/>
          </w:tcPr>
          <w:p w14:paraId="59954EC2" w14:textId="5C33A9C6" w:rsidR="0093643F" w:rsidRPr="00B57B36" w:rsidRDefault="00A35283" w:rsidP="00507B47">
            <w:pPr>
              <w:pStyle w:val="CETBodytext"/>
              <w:ind w:right="-1"/>
              <w:rPr>
                <w:rFonts w:cs="Arial"/>
                <w:szCs w:val="18"/>
                <w:lang w:val="en-GB"/>
              </w:rPr>
            </w:pPr>
            <w:r w:rsidRPr="00A35283">
              <w:rPr>
                <w:rFonts w:cs="Arial"/>
                <w:szCs w:val="18"/>
                <w:lang w:val="en-GB"/>
              </w:rPr>
              <w:t>HC</w:t>
            </w:r>
            <w:r w:rsidRPr="00A35283">
              <w:rPr>
                <w:rFonts w:cs="Arial"/>
                <w:szCs w:val="18"/>
                <w:vertAlign w:val="subscript"/>
                <w:lang w:val="en-GB"/>
              </w:rPr>
              <w:t>OP</w:t>
            </w:r>
            <w:r>
              <w:rPr>
                <w:rFonts w:cs="Arial"/>
                <w:szCs w:val="18"/>
                <w:lang w:val="en-GB"/>
              </w:rPr>
              <w:t xml:space="preserve"> </w:t>
            </w:r>
            <w:r w:rsidRPr="00A35283">
              <w:rPr>
                <w:rFonts w:cs="Arial"/>
                <w:szCs w:val="18"/>
                <w:lang w:val="en-GB"/>
              </w:rPr>
              <w:t>160, 15</w:t>
            </w:r>
          </w:p>
        </w:tc>
        <w:tc>
          <w:tcPr>
            <w:tcW w:w="992" w:type="dxa"/>
            <w:shd w:val="clear" w:color="auto" w:fill="FFFFFF"/>
          </w:tcPr>
          <w:p w14:paraId="4FFB40F7" w14:textId="7CA5D7C6" w:rsidR="0093643F" w:rsidRPr="00B57B36" w:rsidRDefault="000528F5" w:rsidP="000528F5">
            <w:pPr>
              <w:pStyle w:val="CETBodytext"/>
              <w:ind w:right="-1"/>
              <w:jc w:val="center"/>
              <w:rPr>
                <w:rFonts w:cs="Arial"/>
                <w:szCs w:val="18"/>
                <w:lang w:val="en-GB"/>
              </w:rPr>
            </w:pPr>
            <w:r>
              <w:rPr>
                <w:rFonts w:cs="Arial"/>
                <w:szCs w:val="18"/>
                <w:lang w:val="en-GB"/>
              </w:rPr>
              <w:t>46 ± 1</w:t>
            </w:r>
          </w:p>
        </w:tc>
        <w:tc>
          <w:tcPr>
            <w:tcW w:w="1134" w:type="dxa"/>
            <w:shd w:val="clear" w:color="auto" w:fill="FFFFFF"/>
          </w:tcPr>
          <w:p w14:paraId="74F8316C" w14:textId="5DC3179A" w:rsidR="0093643F" w:rsidRPr="00B57B36" w:rsidRDefault="000528F5" w:rsidP="000528F5">
            <w:pPr>
              <w:pStyle w:val="CETBodytext"/>
              <w:ind w:right="-1"/>
              <w:jc w:val="center"/>
              <w:rPr>
                <w:rFonts w:cs="Arial"/>
                <w:szCs w:val="18"/>
                <w:lang w:val="en-GB"/>
              </w:rPr>
            </w:pPr>
            <w:r>
              <w:rPr>
                <w:rFonts w:cs="Arial"/>
                <w:szCs w:val="18"/>
                <w:lang w:val="en-GB"/>
              </w:rPr>
              <w:t>6.11 ± 0.02</w:t>
            </w:r>
          </w:p>
        </w:tc>
        <w:tc>
          <w:tcPr>
            <w:tcW w:w="1134" w:type="dxa"/>
            <w:shd w:val="clear" w:color="auto" w:fill="FFFFFF"/>
          </w:tcPr>
          <w:p w14:paraId="708CF970" w14:textId="6AAE3ED1" w:rsidR="0093643F" w:rsidRPr="00B57B36" w:rsidRDefault="000528F5" w:rsidP="000528F5">
            <w:pPr>
              <w:pStyle w:val="CETBodytext"/>
              <w:ind w:right="-1"/>
              <w:jc w:val="center"/>
              <w:rPr>
                <w:rFonts w:cs="Arial"/>
                <w:szCs w:val="18"/>
                <w:lang w:val="en-GB"/>
              </w:rPr>
            </w:pPr>
            <w:r>
              <w:rPr>
                <w:rFonts w:cs="Arial"/>
                <w:szCs w:val="18"/>
                <w:lang w:val="en-GB"/>
              </w:rPr>
              <w:t>1.3 ± 0.1</w:t>
            </w:r>
          </w:p>
        </w:tc>
        <w:tc>
          <w:tcPr>
            <w:tcW w:w="1134" w:type="dxa"/>
            <w:shd w:val="clear" w:color="auto" w:fill="FFFFFF"/>
          </w:tcPr>
          <w:p w14:paraId="6B4A2B9B" w14:textId="685A3FF1" w:rsidR="0093643F" w:rsidRPr="00B57B36" w:rsidRDefault="000528F5" w:rsidP="000528F5">
            <w:pPr>
              <w:pStyle w:val="CETBodytext"/>
              <w:ind w:right="-1"/>
              <w:jc w:val="center"/>
              <w:rPr>
                <w:rFonts w:cs="Arial"/>
                <w:szCs w:val="18"/>
                <w:lang w:val="en-GB"/>
              </w:rPr>
            </w:pPr>
            <w:r>
              <w:rPr>
                <w:rFonts w:cs="Arial"/>
                <w:szCs w:val="18"/>
                <w:lang w:val="en-GB"/>
              </w:rPr>
              <w:t>46 ± 2</w:t>
            </w:r>
          </w:p>
        </w:tc>
        <w:tc>
          <w:tcPr>
            <w:tcW w:w="1134" w:type="dxa"/>
            <w:shd w:val="clear" w:color="auto" w:fill="FFFFFF"/>
          </w:tcPr>
          <w:p w14:paraId="3E30CE41" w14:textId="4DA2BC1C" w:rsidR="0093643F" w:rsidRPr="00B57B36" w:rsidRDefault="000528F5" w:rsidP="000528F5">
            <w:pPr>
              <w:pStyle w:val="CETBodytext"/>
              <w:ind w:right="-1"/>
              <w:jc w:val="center"/>
              <w:rPr>
                <w:rFonts w:cs="Arial"/>
                <w:szCs w:val="18"/>
                <w:lang w:val="en-GB"/>
              </w:rPr>
            </w:pPr>
            <w:r>
              <w:rPr>
                <w:rFonts w:cs="Arial"/>
                <w:szCs w:val="18"/>
                <w:lang w:val="en-GB"/>
              </w:rPr>
              <w:t>59.1 ± 0.6</w:t>
            </w:r>
          </w:p>
        </w:tc>
        <w:tc>
          <w:tcPr>
            <w:tcW w:w="1134" w:type="dxa"/>
            <w:shd w:val="clear" w:color="auto" w:fill="FFFFFF"/>
          </w:tcPr>
          <w:p w14:paraId="7EB68DBD" w14:textId="21DDAE06" w:rsidR="0093643F" w:rsidRPr="00B57B36" w:rsidRDefault="000528F5" w:rsidP="000528F5">
            <w:pPr>
              <w:pStyle w:val="CETBodytext"/>
              <w:ind w:right="-1"/>
              <w:jc w:val="center"/>
              <w:rPr>
                <w:rFonts w:cs="Arial"/>
                <w:szCs w:val="18"/>
                <w:lang w:val="en-GB"/>
              </w:rPr>
            </w:pPr>
            <w:r>
              <w:rPr>
                <w:rFonts w:cs="Arial"/>
                <w:szCs w:val="18"/>
                <w:lang w:val="en-GB"/>
              </w:rPr>
              <w:t>67 ± 1</w:t>
            </w:r>
          </w:p>
        </w:tc>
      </w:tr>
      <w:tr w:rsidR="00A35283" w:rsidRPr="00B57B36" w14:paraId="54F99E9C" w14:textId="77777777" w:rsidTr="000528F5">
        <w:tc>
          <w:tcPr>
            <w:tcW w:w="1276" w:type="dxa"/>
            <w:shd w:val="clear" w:color="auto" w:fill="FFFFFF"/>
          </w:tcPr>
          <w:p w14:paraId="2E2CA3DF" w14:textId="35941A20" w:rsidR="00A35283" w:rsidRPr="00B57B36" w:rsidRDefault="00A35283" w:rsidP="00A35283">
            <w:pPr>
              <w:pStyle w:val="CETBodytext"/>
              <w:ind w:right="-1"/>
              <w:rPr>
                <w:rFonts w:cs="Arial"/>
                <w:szCs w:val="18"/>
                <w:lang w:val="en-GB"/>
              </w:rPr>
            </w:pPr>
            <w:r w:rsidRPr="00A35283">
              <w:rPr>
                <w:rFonts w:cs="Arial"/>
                <w:szCs w:val="18"/>
                <w:lang w:val="en-GB"/>
              </w:rPr>
              <w:t>HC</w:t>
            </w:r>
            <w:r w:rsidRPr="00A35283">
              <w:rPr>
                <w:rFonts w:cs="Arial"/>
                <w:szCs w:val="18"/>
                <w:vertAlign w:val="subscript"/>
                <w:lang w:val="en-GB"/>
              </w:rPr>
              <w:t>OP</w:t>
            </w:r>
            <w:r>
              <w:rPr>
                <w:rFonts w:cs="Arial"/>
                <w:szCs w:val="18"/>
                <w:lang w:val="en-GB"/>
              </w:rPr>
              <w:t xml:space="preserve"> </w:t>
            </w:r>
            <w:r w:rsidRPr="00A35283">
              <w:rPr>
                <w:rFonts w:cs="Arial"/>
                <w:szCs w:val="18"/>
                <w:lang w:val="en-GB"/>
              </w:rPr>
              <w:t xml:space="preserve">160, </w:t>
            </w:r>
            <w:r w:rsidR="0041277E">
              <w:rPr>
                <w:rFonts w:cs="Arial"/>
                <w:szCs w:val="18"/>
                <w:lang w:val="en-GB"/>
              </w:rPr>
              <w:t>6</w:t>
            </w:r>
            <w:r>
              <w:rPr>
                <w:rFonts w:cs="Arial"/>
                <w:szCs w:val="18"/>
                <w:lang w:val="en-GB"/>
              </w:rPr>
              <w:t>0</w:t>
            </w:r>
          </w:p>
        </w:tc>
        <w:tc>
          <w:tcPr>
            <w:tcW w:w="992" w:type="dxa"/>
            <w:shd w:val="clear" w:color="auto" w:fill="FFFFFF"/>
          </w:tcPr>
          <w:p w14:paraId="0197776F" w14:textId="2AAB216E" w:rsidR="00A35283" w:rsidRPr="00B57B36" w:rsidRDefault="000528F5" w:rsidP="000528F5">
            <w:pPr>
              <w:pStyle w:val="CETBodytext"/>
              <w:ind w:right="-1"/>
              <w:jc w:val="center"/>
              <w:rPr>
                <w:rFonts w:cs="Arial"/>
                <w:szCs w:val="18"/>
                <w:lang w:val="en-GB"/>
              </w:rPr>
            </w:pPr>
            <w:r>
              <w:rPr>
                <w:rFonts w:cs="Arial"/>
                <w:szCs w:val="18"/>
                <w:lang w:val="en-GB"/>
              </w:rPr>
              <w:t>48 ± 2</w:t>
            </w:r>
          </w:p>
        </w:tc>
        <w:tc>
          <w:tcPr>
            <w:tcW w:w="1134" w:type="dxa"/>
            <w:shd w:val="clear" w:color="auto" w:fill="FFFFFF"/>
          </w:tcPr>
          <w:p w14:paraId="2ACD9380" w14:textId="7FB9BBB1" w:rsidR="00A35283" w:rsidRPr="00B57B36" w:rsidRDefault="000528F5" w:rsidP="000528F5">
            <w:pPr>
              <w:pStyle w:val="CETBodytext"/>
              <w:ind w:right="-1"/>
              <w:jc w:val="center"/>
              <w:rPr>
                <w:rFonts w:cs="Arial"/>
                <w:szCs w:val="18"/>
                <w:lang w:val="en-GB"/>
              </w:rPr>
            </w:pPr>
            <w:r>
              <w:rPr>
                <w:rFonts w:cs="Arial"/>
                <w:szCs w:val="18"/>
                <w:lang w:val="en-GB"/>
              </w:rPr>
              <w:t>5.54 ± 0.04</w:t>
            </w:r>
          </w:p>
        </w:tc>
        <w:tc>
          <w:tcPr>
            <w:tcW w:w="1134" w:type="dxa"/>
            <w:shd w:val="clear" w:color="auto" w:fill="FFFFFF"/>
          </w:tcPr>
          <w:p w14:paraId="2BA0557E" w14:textId="21D6087F" w:rsidR="00A35283" w:rsidRPr="00B57B36" w:rsidRDefault="000528F5" w:rsidP="000528F5">
            <w:pPr>
              <w:pStyle w:val="CETBodytext"/>
              <w:ind w:right="-1"/>
              <w:jc w:val="center"/>
              <w:rPr>
                <w:rFonts w:cs="Arial"/>
                <w:szCs w:val="18"/>
                <w:lang w:val="en-GB"/>
              </w:rPr>
            </w:pPr>
            <w:r>
              <w:rPr>
                <w:rFonts w:cs="Arial"/>
                <w:szCs w:val="18"/>
                <w:lang w:val="en-GB"/>
              </w:rPr>
              <w:t>1.34 ± 0.04</w:t>
            </w:r>
          </w:p>
        </w:tc>
        <w:tc>
          <w:tcPr>
            <w:tcW w:w="1134" w:type="dxa"/>
            <w:shd w:val="clear" w:color="auto" w:fill="FFFFFF"/>
          </w:tcPr>
          <w:p w14:paraId="40FC8666" w14:textId="1CD16DAC" w:rsidR="00A35283" w:rsidRPr="00B57B36" w:rsidRDefault="000528F5" w:rsidP="000528F5">
            <w:pPr>
              <w:pStyle w:val="CETBodytext"/>
              <w:ind w:right="-1"/>
              <w:jc w:val="center"/>
              <w:rPr>
                <w:rFonts w:cs="Arial"/>
                <w:szCs w:val="18"/>
                <w:lang w:val="en-GB"/>
              </w:rPr>
            </w:pPr>
            <w:r>
              <w:rPr>
                <w:rFonts w:cs="Arial"/>
                <w:szCs w:val="18"/>
                <w:lang w:val="en-GB"/>
              </w:rPr>
              <w:t>45 ± 2</w:t>
            </w:r>
          </w:p>
        </w:tc>
        <w:tc>
          <w:tcPr>
            <w:tcW w:w="1134" w:type="dxa"/>
            <w:shd w:val="clear" w:color="auto" w:fill="FFFFFF"/>
          </w:tcPr>
          <w:p w14:paraId="32BCBB0E" w14:textId="2E7D0207" w:rsidR="00A35283" w:rsidRPr="00B57B36" w:rsidRDefault="000528F5" w:rsidP="000528F5">
            <w:pPr>
              <w:pStyle w:val="CETBodytext"/>
              <w:ind w:right="-1"/>
              <w:jc w:val="center"/>
              <w:rPr>
                <w:rFonts w:cs="Arial"/>
                <w:szCs w:val="18"/>
                <w:lang w:val="en-GB"/>
              </w:rPr>
            </w:pPr>
            <w:r>
              <w:rPr>
                <w:rFonts w:cs="Arial"/>
                <w:szCs w:val="18"/>
                <w:lang w:val="en-GB"/>
              </w:rPr>
              <w:t>50.0 ± 0.1</w:t>
            </w:r>
          </w:p>
        </w:tc>
        <w:tc>
          <w:tcPr>
            <w:tcW w:w="1134" w:type="dxa"/>
            <w:shd w:val="clear" w:color="auto" w:fill="FFFFFF"/>
          </w:tcPr>
          <w:p w14:paraId="0D60C887" w14:textId="36A3972B" w:rsidR="00A35283" w:rsidRPr="00B57B36" w:rsidRDefault="000528F5" w:rsidP="000528F5">
            <w:pPr>
              <w:pStyle w:val="CETBodytext"/>
              <w:ind w:right="-1"/>
              <w:jc w:val="center"/>
              <w:rPr>
                <w:rFonts w:cs="Arial"/>
                <w:szCs w:val="18"/>
                <w:lang w:val="en-GB"/>
              </w:rPr>
            </w:pPr>
            <w:r>
              <w:rPr>
                <w:rFonts w:cs="Arial"/>
                <w:szCs w:val="18"/>
                <w:lang w:val="en-GB"/>
              </w:rPr>
              <w:t>59 ± 2</w:t>
            </w:r>
          </w:p>
        </w:tc>
      </w:tr>
      <w:tr w:rsidR="00A35283" w:rsidRPr="00B57B36" w14:paraId="249F23B9" w14:textId="77777777" w:rsidTr="000528F5">
        <w:tc>
          <w:tcPr>
            <w:tcW w:w="1276" w:type="dxa"/>
            <w:shd w:val="clear" w:color="auto" w:fill="FFFFFF"/>
          </w:tcPr>
          <w:p w14:paraId="2C73781B" w14:textId="2D47C786" w:rsidR="00A35283" w:rsidRPr="00B57B36" w:rsidRDefault="00A35283" w:rsidP="00A35283">
            <w:pPr>
              <w:pStyle w:val="CETBodytext"/>
              <w:ind w:right="-1"/>
              <w:rPr>
                <w:rFonts w:cs="Arial"/>
                <w:szCs w:val="18"/>
                <w:lang w:val="en-GB"/>
              </w:rPr>
            </w:pPr>
            <w:r w:rsidRPr="00A35283">
              <w:rPr>
                <w:rFonts w:cs="Arial"/>
                <w:szCs w:val="18"/>
                <w:lang w:val="en-GB"/>
              </w:rPr>
              <w:t>HC</w:t>
            </w:r>
            <w:r w:rsidRPr="00A35283">
              <w:rPr>
                <w:rFonts w:cs="Arial"/>
                <w:szCs w:val="18"/>
                <w:vertAlign w:val="subscript"/>
                <w:lang w:val="en-GB"/>
              </w:rPr>
              <w:t>OP</w:t>
            </w:r>
            <w:r>
              <w:rPr>
                <w:rFonts w:cs="Arial"/>
                <w:szCs w:val="18"/>
                <w:lang w:val="en-GB"/>
              </w:rPr>
              <w:t xml:space="preserve"> </w:t>
            </w:r>
            <w:r w:rsidRPr="00A35283">
              <w:rPr>
                <w:rFonts w:cs="Arial"/>
                <w:szCs w:val="18"/>
                <w:lang w:val="en-GB"/>
              </w:rPr>
              <w:t>1</w:t>
            </w:r>
            <w:r>
              <w:rPr>
                <w:rFonts w:cs="Arial"/>
                <w:szCs w:val="18"/>
                <w:lang w:val="en-GB"/>
              </w:rPr>
              <w:t>9</w:t>
            </w:r>
            <w:r w:rsidRPr="00A35283">
              <w:rPr>
                <w:rFonts w:cs="Arial"/>
                <w:szCs w:val="18"/>
                <w:lang w:val="en-GB"/>
              </w:rPr>
              <w:t>0, 15</w:t>
            </w:r>
          </w:p>
        </w:tc>
        <w:tc>
          <w:tcPr>
            <w:tcW w:w="992" w:type="dxa"/>
            <w:shd w:val="clear" w:color="auto" w:fill="FFFFFF"/>
          </w:tcPr>
          <w:p w14:paraId="64D378DA" w14:textId="212EB70D" w:rsidR="00A35283" w:rsidRPr="00B57B36" w:rsidRDefault="000528F5" w:rsidP="000528F5">
            <w:pPr>
              <w:pStyle w:val="CETBodytext"/>
              <w:ind w:right="-1"/>
              <w:jc w:val="center"/>
              <w:rPr>
                <w:rFonts w:cs="Arial"/>
                <w:szCs w:val="18"/>
                <w:lang w:val="en-GB"/>
              </w:rPr>
            </w:pPr>
            <w:r>
              <w:rPr>
                <w:rFonts w:cs="Arial"/>
                <w:szCs w:val="18"/>
                <w:lang w:val="en-GB"/>
              </w:rPr>
              <w:t>48.4 ± 0.2</w:t>
            </w:r>
          </w:p>
        </w:tc>
        <w:tc>
          <w:tcPr>
            <w:tcW w:w="1134" w:type="dxa"/>
            <w:shd w:val="clear" w:color="auto" w:fill="FFFFFF"/>
          </w:tcPr>
          <w:p w14:paraId="1FD02341" w14:textId="0739B5CF" w:rsidR="00A35283" w:rsidRPr="00B57B36" w:rsidRDefault="000528F5" w:rsidP="000528F5">
            <w:pPr>
              <w:pStyle w:val="CETBodytext"/>
              <w:ind w:right="-1"/>
              <w:jc w:val="center"/>
              <w:rPr>
                <w:rFonts w:cs="Arial"/>
                <w:szCs w:val="18"/>
                <w:lang w:val="en-GB"/>
              </w:rPr>
            </w:pPr>
            <w:r>
              <w:rPr>
                <w:rFonts w:cs="Arial"/>
                <w:szCs w:val="18"/>
                <w:lang w:val="en-GB"/>
              </w:rPr>
              <w:t>5.6 ± 0.3</w:t>
            </w:r>
          </w:p>
        </w:tc>
        <w:tc>
          <w:tcPr>
            <w:tcW w:w="1134" w:type="dxa"/>
            <w:shd w:val="clear" w:color="auto" w:fill="FFFFFF"/>
          </w:tcPr>
          <w:p w14:paraId="0EE54936" w14:textId="5829FC7B" w:rsidR="00A35283" w:rsidRPr="00B57B36" w:rsidRDefault="000528F5" w:rsidP="000528F5">
            <w:pPr>
              <w:pStyle w:val="CETBodytext"/>
              <w:ind w:right="-1"/>
              <w:jc w:val="center"/>
              <w:rPr>
                <w:rFonts w:cs="Arial"/>
                <w:szCs w:val="18"/>
                <w:lang w:val="en-GB"/>
              </w:rPr>
            </w:pPr>
            <w:r>
              <w:rPr>
                <w:rFonts w:cs="Arial"/>
                <w:szCs w:val="18"/>
                <w:lang w:val="en-GB"/>
              </w:rPr>
              <w:t>1.31 ± 0.01</w:t>
            </w:r>
          </w:p>
        </w:tc>
        <w:tc>
          <w:tcPr>
            <w:tcW w:w="1134" w:type="dxa"/>
            <w:shd w:val="clear" w:color="auto" w:fill="FFFFFF"/>
          </w:tcPr>
          <w:p w14:paraId="0D3652DE" w14:textId="27B59275" w:rsidR="00A35283" w:rsidRPr="00B57B36" w:rsidRDefault="000528F5" w:rsidP="000528F5">
            <w:pPr>
              <w:pStyle w:val="CETBodytext"/>
              <w:ind w:right="-1"/>
              <w:jc w:val="center"/>
              <w:rPr>
                <w:rFonts w:cs="Arial"/>
                <w:szCs w:val="18"/>
                <w:lang w:val="en-GB"/>
              </w:rPr>
            </w:pPr>
            <w:r>
              <w:rPr>
                <w:rFonts w:cs="Arial"/>
                <w:szCs w:val="18"/>
                <w:lang w:val="en-GB"/>
              </w:rPr>
              <w:t>44.7 ± 0.1</w:t>
            </w:r>
          </w:p>
        </w:tc>
        <w:tc>
          <w:tcPr>
            <w:tcW w:w="1134" w:type="dxa"/>
            <w:shd w:val="clear" w:color="auto" w:fill="FFFFFF"/>
          </w:tcPr>
          <w:p w14:paraId="7815D59A" w14:textId="43C1C91A" w:rsidR="00A35283" w:rsidRPr="00B57B36" w:rsidRDefault="000528F5" w:rsidP="000528F5">
            <w:pPr>
              <w:pStyle w:val="CETBodytext"/>
              <w:ind w:right="-1"/>
              <w:jc w:val="center"/>
              <w:rPr>
                <w:rFonts w:cs="Arial"/>
                <w:szCs w:val="18"/>
                <w:lang w:val="en-GB"/>
              </w:rPr>
            </w:pPr>
            <w:r>
              <w:rPr>
                <w:rFonts w:cs="Arial"/>
                <w:szCs w:val="18"/>
                <w:lang w:val="en-GB"/>
              </w:rPr>
              <w:t>46 ± 3</w:t>
            </w:r>
          </w:p>
        </w:tc>
        <w:tc>
          <w:tcPr>
            <w:tcW w:w="1134" w:type="dxa"/>
            <w:shd w:val="clear" w:color="auto" w:fill="FFFFFF"/>
          </w:tcPr>
          <w:p w14:paraId="78B075AB" w14:textId="338734F2" w:rsidR="00A35283" w:rsidRPr="00B57B36" w:rsidRDefault="000528F5" w:rsidP="000528F5">
            <w:pPr>
              <w:pStyle w:val="CETBodytext"/>
              <w:ind w:right="-1"/>
              <w:jc w:val="center"/>
              <w:rPr>
                <w:rFonts w:cs="Arial"/>
                <w:szCs w:val="18"/>
                <w:lang w:val="en-GB"/>
              </w:rPr>
            </w:pPr>
            <w:r>
              <w:rPr>
                <w:rFonts w:cs="Arial"/>
                <w:szCs w:val="18"/>
                <w:lang w:val="en-GB"/>
              </w:rPr>
              <w:t>55 ± 4</w:t>
            </w:r>
          </w:p>
        </w:tc>
      </w:tr>
      <w:tr w:rsidR="00A35283" w:rsidRPr="00B57B36" w14:paraId="220D71D7" w14:textId="77777777" w:rsidTr="000528F5">
        <w:tc>
          <w:tcPr>
            <w:tcW w:w="1276" w:type="dxa"/>
            <w:shd w:val="clear" w:color="auto" w:fill="FFFFFF"/>
          </w:tcPr>
          <w:p w14:paraId="082A3AC4" w14:textId="58326B2F" w:rsidR="00A35283" w:rsidRPr="00B57B36" w:rsidRDefault="00A35283" w:rsidP="00A35283">
            <w:pPr>
              <w:pStyle w:val="CETBodytext"/>
              <w:ind w:right="-1"/>
              <w:rPr>
                <w:rFonts w:cs="Arial"/>
                <w:szCs w:val="18"/>
                <w:lang w:val="en-GB"/>
              </w:rPr>
            </w:pPr>
            <w:r w:rsidRPr="00A35283">
              <w:rPr>
                <w:rFonts w:cs="Arial"/>
                <w:szCs w:val="18"/>
                <w:lang w:val="en-GB"/>
              </w:rPr>
              <w:t>HC</w:t>
            </w:r>
            <w:r w:rsidRPr="00A35283">
              <w:rPr>
                <w:rFonts w:cs="Arial"/>
                <w:szCs w:val="18"/>
                <w:vertAlign w:val="subscript"/>
                <w:lang w:val="en-GB"/>
              </w:rPr>
              <w:t>OP</w:t>
            </w:r>
            <w:r>
              <w:rPr>
                <w:rFonts w:cs="Arial"/>
                <w:szCs w:val="18"/>
                <w:lang w:val="en-GB"/>
              </w:rPr>
              <w:t xml:space="preserve"> 19</w:t>
            </w:r>
            <w:r w:rsidRPr="00A35283">
              <w:rPr>
                <w:rFonts w:cs="Arial"/>
                <w:szCs w:val="18"/>
                <w:lang w:val="en-GB"/>
              </w:rPr>
              <w:t xml:space="preserve">0, </w:t>
            </w:r>
            <w:r w:rsidR="0041277E">
              <w:rPr>
                <w:rFonts w:cs="Arial"/>
                <w:szCs w:val="18"/>
                <w:lang w:val="en-GB"/>
              </w:rPr>
              <w:t>6</w:t>
            </w:r>
            <w:r>
              <w:rPr>
                <w:rFonts w:cs="Arial"/>
                <w:szCs w:val="18"/>
                <w:lang w:val="en-GB"/>
              </w:rPr>
              <w:t>0</w:t>
            </w:r>
          </w:p>
        </w:tc>
        <w:tc>
          <w:tcPr>
            <w:tcW w:w="992" w:type="dxa"/>
            <w:shd w:val="clear" w:color="auto" w:fill="FFFFFF"/>
          </w:tcPr>
          <w:p w14:paraId="571D1A6A" w14:textId="560F9044" w:rsidR="00A35283" w:rsidRPr="00B57B36" w:rsidRDefault="000528F5" w:rsidP="000528F5">
            <w:pPr>
              <w:pStyle w:val="CETBodytext"/>
              <w:ind w:right="-1"/>
              <w:jc w:val="center"/>
              <w:rPr>
                <w:rFonts w:cs="Arial"/>
                <w:szCs w:val="18"/>
                <w:lang w:val="en-GB"/>
              </w:rPr>
            </w:pPr>
            <w:r>
              <w:rPr>
                <w:rFonts w:cs="Arial"/>
                <w:szCs w:val="18"/>
                <w:lang w:val="en-GB"/>
              </w:rPr>
              <w:t>56.7 ± 0.6</w:t>
            </w:r>
          </w:p>
        </w:tc>
        <w:tc>
          <w:tcPr>
            <w:tcW w:w="1134" w:type="dxa"/>
            <w:shd w:val="clear" w:color="auto" w:fill="FFFFFF"/>
          </w:tcPr>
          <w:p w14:paraId="128B2A9B" w14:textId="3D12C165" w:rsidR="00A35283" w:rsidRPr="00B57B36" w:rsidRDefault="000528F5" w:rsidP="000528F5">
            <w:pPr>
              <w:pStyle w:val="CETBodytext"/>
              <w:ind w:right="-1"/>
              <w:jc w:val="center"/>
              <w:rPr>
                <w:rFonts w:cs="Arial"/>
                <w:szCs w:val="18"/>
                <w:lang w:val="en-GB"/>
              </w:rPr>
            </w:pPr>
            <w:r>
              <w:rPr>
                <w:rFonts w:cs="Arial"/>
                <w:szCs w:val="18"/>
                <w:lang w:val="en-GB"/>
              </w:rPr>
              <w:t>5.6 ± 0.2</w:t>
            </w:r>
          </w:p>
        </w:tc>
        <w:tc>
          <w:tcPr>
            <w:tcW w:w="1134" w:type="dxa"/>
            <w:shd w:val="clear" w:color="auto" w:fill="FFFFFF"/>
          </w:tcPr>
          <w:p w14:paraId="7FEE2477" w14:textId="0436E259" w:rsidR="00A35283" w:rsidRPr="00B57B36" w:rsidRDefault="000528F5" w:rsidP="000528F5">
            <w:pPr>
              <w:pStyle w:val="CETBodytext"/>
              <w:ind w:right="-1"/>
              <w:jc w:val="center"/>
              <w:rPr>
                <w:rFonts w:cs="Arial"/>
                <w:szCs w:val="18"/>
                <w:lang w:val="en-GB"/>
              </w:rPr>
            </w:pPr>
            <w:r>
              <w:rPr>
                <w:rFonts w:cs="Arial"/>
                <w:szCs w:val="18"/>
                <w:lang w:val="en-GB"/>
              </w:rPr>
              <w:t>1.62 ± 0.01</w:t>
            </w:r>
          </w:p>
        </w:tc>
        <w:tc>
          <w:tcPr>
            <w:tcW w:w="1134" w:type="dxa"/>
            <w:shd w:val="clear" w:color="auto" w:fill="FFFFFF"/>
          </w:tcPr>
          <w:p w14:paraId="6DF9F738" w14:textId="242DCE2E" w:rsidR="00A35283" w:rsidRPr="00B57B36" w:rsidRDefault="000528F5" w:rsidP="000528F5">
            <w:pPr>
              <w:pStyle w:val="CETBodytext"/>
              <w:ind w:right="-1"/>
              <w:jc w:val="center"/>
              <w:rPr>
                <w:rFonts w:cs="Arial"/>
                <w:szCs w:val="18"/>
                <w:lang w:val="en-GB"/>
              </w:rPr>
            </w:pPr>
            <w:r>
              <w:rPr>
                <w:rFonts w:cs="Arial"/>
                <w:szCs w:val="18"/>
                <w:lang w:val="en-GB"/>
              </w:rPr>
              <w:t>36.1 ± 0.7</w:t>
            </w:r>
          </w:p>
        </w:tc>
        <w:tc>
          <w:tcPr>
            <w:tcW w:w="1134" w:type="dxa"/>
            <w:shd w:val="clear" w:color="auto" w:fill="FFFFFF"/>
          </w:tcPr>
          <w:p w14:paraId="298E0147" w14:textId="1AFAF6B0" w:rsidR="00A35283" w:rsidRPr="00B57B36" w:rsidRDefault="000528F5" w:rsidP="000528F5">
            <w:pPr>
              <w:pStyle w:val="CETBodytext"/>
              <w:ind w:right="-1"/>
              <w:jc w:val="center"/>
              <w:rPr>
                <w:rFonts w:cs="Arial"/>
                <w:szCs w:val="18"/>
                <w:lang w:val="en-GB"/>
              </w:rPr>
            </w:pPr>
            <w:r>
              <w:rPr>
                <w:rFonts w:cs="Arial"/>
                <w:szCs w:val="18"/>
                <w:lang w:val="en-GB"/>
              </w:rPr>
              <w:t>47 ± 5</w:t>
            </w:r>
          </w:p>
        </w:tc>
        <w:tc>
          <w:tcPr>
            <w:tcW w:w="1134" w:type="dxa"/>
            <w:shd w:val="clear" w:color="auto" w:fill="FFFFFF"/>
          </w:tcPr>
          <w:p w14:paraId="47D3C3DB" w14:textId="582E8741" w:rsidR="00A35283" w:rsidRPr="00B57B36" w:rsidRDefault="000528F5" w:rsidP="000528F5">
            <w:pPr>
              <w:pStyle w:val="CETBodytext"/>
              <w:ind w:right="-1"/>
              <w:jc w:val="center"/>
              <w:rPr>
                <w:rFonts w:cs="Arial"/>
                <w:szCs w:val="18"/>
                <w:lang w:val="en-GB"/>
              </w:rPr>
            </w:pPr>
            <w:r>
              <w:rPr>
                <w:rFonts w:cs="Arial"/>
                <w:szCs w:val="18"/>
                <w:lang w:val="en-GB"/>
              </w:rPr>
              <w:t>66 ± 7</w:t>
            </w:r>
          </w:p>
        </w:tc>
      </w:tr>
      <w:tr w:rsidR="00A35283" w:rsidRPr="00B57B36" w14:paraId="76B72F53" w14:textId="77777777" w:rsidTr="000528F5">
        <w:tc>
          <w:tcPr>
            <w:tcW w:w="1276" w:type="dxa"/>
            <w:shd w:val="clear" w:color="auto" w:fill="FFFFFF"/>
          </w:tcPr>
          <w:p w14:paraId="542BD63B" w14:textId="54328E85" w:rsidR="00A35283" w:rsidRPr="00A35283" w:rsidRDefault="00A35283" w:rsidP="00A35283">
            <w:pPr>
              <w:pStyle w:val="CETBodytext"/>
              <w:ind w:right="-1"/>
              <w:rPr>
                <w:rFonts w:cs="Arial"/>
                <w:szCs w:val="18"/>
                <w:lang w:val="en-GB"/>
              </w:rPr>
            </w:pPr>
            <w:r>
              <w:rPr>
                <w:rFonts w:cs="Arial"/>
                <w:szCs w:val="18"/>
                <w:lang w:val="en-GB"/>
              </w:rPr>
              <w:t>Barley straw</w:t>
            </w:r>
          </w:p>
        </w:tc>
        <w:tc>
          <w:tcPr>
            <w:tcW w:w="992" w:type="dxa"/>
            <w:shd w:val="clear" w:color="auto" w:fill="FFFFFF"/>
          </w:tcPr>
          <w:p w14:paraId="30C6799D" w14:textId="20795991" w:rsidR="00A35283" w:rsidRPr="00B57B36" w:rsidRDefault="000528F5" w:rsidP="000528F5">
            <w:pPr>
              <w:pStyle w:val="CETBodytext"/>
              <w:ind w:right="-1"/>
              <w:jc w:val="center"/>
              <w:rPr>
                <w:rFonts w:cs="Arial"/>
                <w:szCs w:val="18"/>
                <w:lang w:val="en-GB"/>
              </w:rPr>
            </w:pPr>
            <w:r>
              <w:rPr>
                <w:rFonts w:cs="Arial"/>
                <w:szCs w:val="18"/>
                <w:lang w:val="en-GB"/>
              </w:rPr>
              <w:t>43</w:t>
            </w:r>
          </w:p>
        </w:tc>
        <w:tc>
          <w:tcPr>
            <w:tcW w:w="1134" w:type="dxa"/>
            <w:shd w:val="clear" w:color="auto" w:fill="FFFFFF"/>
          </w:tcPr>
          <w:p w14:paraId="49345041" w14:textId="3BF42099" w:rsidR="00A35283" w:rsidRPr="00B57B36" w:rsidRDefault="000528F5" w:rsidP="000528F5">
            <w:pPr>
              <w:pStyle w:val="CETBodytext"/>
              <w:ind w:right="-1"/>
              <w:jc w:val="center"/>
              <w:rPr>
                <w:rFonts w:cs="Arial"/>
                <w:szCs w:val="18"/>
                <w:lang w:val="en-GB"/>
              </w:rPr>
            </w:pPr>
            <w:r>
              <w:rPr>
                <w:rFonts w:cs="Arial"/>
                <w:szCs w:val="18"/>
                <w:lang w:val="en-GB"/>
              </w:rPr>
              <w:t>6.15</w:t>
            </w:r>
          </w:p>
        </w:tc>
        <w:tc>
          <w:tcPr>
            <w:tcW w:w="1134" w:type="dxa"/>
            <w:shd w:val="clear" w:color="auto" w:fill="FFFFFF"/>
          </w:tcPr>
          <w:p w14:paraId="76F7ADBE" w14:textId="53283775" w:rsidR="00A35283" w:rsidRPr="00B57B36" w:rsidRDefault="000528F5" w:rsidP="000528F5">
            <w:pPr>
              <w:pStyle w:val="CETBodytext"/>
              <w:ind w:right="-1"/>
              <w:jc w:val="center"/>
              <w:rPr>
                <w:rFonts w:cs="Arial"/>
                <w:szCs w:val="18"/>
                <w:lang w:val="en-GB"/>
              </w:rPr>
            </w:pPr>
            <w:r>
              <w:rPr>
                <w:rFonts w:cs="Arial"/>
                <w:szCs w:val="18"/>
                <w:lang w:val="en-GB"/>
              </w:rPr>
              <w:t>0.53</w:t>
            </w:r>
          </w:p>
        </w:tc>
        <w:tc>
          <w:tcPr>
            <w:tcW w:w="1134" w:type="dxa"/>
            <w:shd w:val="clear" w:color="auto" w:fill="FFFFFF"/>
          </w:tcPr>
          <w:p w14:paraId="16D153F4" w14:textId="7C14682E" w:rsidR="00A35283" w:rsidRPr="00B57B36" w:rsidRDefault="000528F5" w:rsidP="000528F5">
            <w:pPr>
              <w:pStyle w:val="CETBodytext"/>
              <w:ind w:right="-1"/>
              <w:jc w:val="center"/>
              <w:rPr>
                <w:rFonts w:cs="Arial"/>
                <w:szCs w:val="18"/>
                <w:lang w:val="en-GB"/>
              </w:rPr>
            </w:pPr>
            <w:r>
              <w:rPr>
                <w:rFonts w:cs="Arial"/>
                <w:szCs w:val="18"/>
                <w:lang w:val="en-GB"/>
              </w:rPr>
              <w:t>50</w:t>
            </w:r>
          </w:p>
        </w:tc>
        <w:tc>
          <w:tcPr>
            <w:tcW w:w="1134" w:type="dxa"/>
            <w:shd w:val="clear" w:color="auto" w:fill="FFFFFF"/>
          </w:tcPr>
          <w:p w14:paraId="778E69EA" w14:textId="35EDAAE4" w:rsidR="00A35283" w:rsidRPr="00B57B36" w:rsidRDefault="000528F5" w:rsidP="000528F5">
            <w:pPr>
              <w:pStyle w:val="CETBodytext"/>
              <w:ind w:right="-1"/>
              <w:jc w:val="center"/>
              <w:rPr>
                <w:rFonts w:cs="Arial"/>
                <w:szCs w:val="18"/>
                <w:lang w:val="en-GB"/>
              </w:rPr>
            </w:pPr>
            <w:r>
              <w:rPr>
                <w:rFonts w:cs="Arial"/>
                <w:szCs w:val="18"/>
                <w:lang w:val="en-GB"/>
              </w:rPr>
              <w:t>-</w:t>
            </w:r>
          </w:p>
        </w:tc>
        <w:tc>
          <w:tcPr>
            <w:tcW w:w="1134" w:type="dxa"/>
            <w:shd w:val="clear" w:color="auto" w:fill="FFFFFF"/>
          </w:tcPr>
          <w:p w14:paraId="2D8231A4" w14:textId="79C1C22B" w:rsidR="00A35283" w:rsidRPr="00B57B36" w:rsidRDefault="000528F5" w:rsidP="000528F5">
            <w:pPr>
              <w:pStyle w:val="CETBodytext"/>
              <w:ind w:right="-1"/>
              <w:jc w:val="center"/>
              <w:rPr>
                <w:rFonts w:cs="Arial"/>
                <w:szCs w:val="18"/>
                <w:lang w:val="en-GB"/>
              </w:rPr>
            </w:pPr>
            <w:r>
              <w:rPr>
                <w:rFonts w:cs="Arial"/>
                <w:szCs w:val="18"/>
                <w:lang w:val="en-GB"/>
              </w:rPr>
              <w:t>-</w:t>
            </w:r>
          </w:p>
        </w:tc>
      </w:tr>
      <w:tr w:rsidR="00A35283" w:rsidRPr="00B57B36" w14:paraId="5580059E" w14:textId="77777777" w:rsidTr="000528F5">
        <w:tc>
          <w:tcPr>
            <w:tcW w:w="1276" w:type="dxa"/>
            <w:shd w:val="clear" w:color="auto" w:fill="FFFFFF"/>
          </w:tcPr>
          <w:p w14:paraId="6C6C15A8" w14:textId="1712C15F" w:rsidR="00A35283" w:rsidRPr="00B57B36" w:rsidRDefault="00A35283" w:rsidP="00A35283">
            <w:pPr>
              <w:pStyle w:val="CETBodytext"/>
              <w:ind w:right="-1"/>
              <w:rPr>
                <w:rFonts w:cs="Arial"/>
                <w:szCs w:val="18"/>
                <w:lang w:val="en-GB"/>
              </w:rPr>
            </w:pPr>
            <w:r w:rsidRPr="00A35283">
              <w:rPr>
                <w:rFonts w:cs="Arial"/>
                <w:szCs w:val="18"/>
                <w:lang w:val="en-GB"/>
              </w:rPr>
              <w:t>HC</w:t>
            </w:r>
            <w:r w:rsidRPr="00A35283">
              <w:rPr>
                <w:rFonts w:cs="Arial"/>
                <w:szCs w:val="18"/>
                <w:vertAlign w:val="subscript"/>
                <w:lang w:val="en-GB"/>
              </w:rPr>
              <w:t>BS</w:t>
            </w:r>
            <w:r>
              <w:rPr>
                <w:rFonts w:cs="Arial"/>
                <w:szCs w:val="18"/>
                <w:lang w:val="en-GB"/>
              </w:rPr>
              <w:t xml:space="preserve"> </w:t>
            </w:r>
            <w:r w:rsidRPr="00A35283">
              <w:rPr>
                <w:rFonts w:cs="Arial"/>
                <w:szCs w:val="18"/>
                <w:lang w:val="en-GB"/>
              </w:rPr>
              <w:t>160, 15</w:t>
            </w:r>
          </w:p>
        </w:tc>
        <w:tc>
          <w:tcPr>
            <w:tcW w:w="992" w:type="dxa"/>
            <w:shd w:val="clear" w:color="auto" w:fill="FFFFFF"/>
          </w:tcPr>
          <w:p w14:paraId="0987BA28" w14:textId="2ABEB18E" w:rsidR="00A35283" w:rsidRPr="00B57B36" w:rsidRDefault="005F0246" w:rsidP="000528F5">
            <w:pPr>
              <w:pStyle w:val="CETBodytext"/>
              <w:ind w:right="-1"/>
              <w:jc w:val="center"/>
              <w:rPr>
                <w:rFonts w:cs="Arial"/>
                <w:szCs w:val="18"/>
                <w:lang w:val="en-GB"/>
              </w:rPr>
            </w:pPr>
            <w:r>
              <w:rPr>
                <w:rFonts w:cs="Arial"/>
                <w:szCs w:val="18"/>
                <w:lang w:val="en-GB"/>
              </w:rPr>
              <w:t>50.5 ± 0.9</w:t>
            </w:r>
          </w:p>
        </w:tc>
        <w:tc>
          <w:tcPr>
            <w:tcW w:w="1134" w:type="dxa"/>
            <w:shd w:val="clear" w:color="auto" w:fill="FFFFFF"/>
          </w:tcPr>
          <w:p w14:paraId="36FD4834" w14:textId="1075AA17" w:rsidR="00A35283" w:rsidRPr="00B57B36" w:rsidRDefault="005F0246" w:rsidP="000528F5">
            <w:pPr>
              <w:pStyle w:val="CETBodytext"/>
              <w:ind w:right="-1"/>
              <w:jc w:val="center"/>
              <w:rPr>
                <w:rFonts w:cs="Arial"/>
                <w:szCs w:val="18"/>
                <w:lang w:val="en-GB"/>
              </w:rPr>
            </w:pPr>
            <w:r>
              <w:rPr>
                <w:rFonts w:cs="Arial"/>
                <w:szCs w:val="18"/>
                <w:lang w:val="en-GB"/>
              </w:rPr>
              <w:t>5.6 ± 0.3</w:t>
            </w:r>
          </w:p>
        </w:tc>
        <w:tc>
          <w:tcPr>
            <w:tcW w:w="1134" w:type="dxa"/>
            <w:shd w:val="clear" w:color="auto" w:fill="FFFFFF"/>
          </w:tcPr>
          <w:p w14:paraId="2DC7CB28" w14:textId="5E21ECB5" w:rsidR="00A35283" w:rsidRPr="00B57B36" w:rsidRDefault="005F0246" w:rsidP="000528F5">
            <w:pPr>
              <w:pStyle w:val="CETBodytext"/>
              <w:ind w:right="-1"/>
              <w:jc w:val="center"/>
              <w:rPr>
                <w:rFonts w:cs="Arial"/>
                <w:szCs w:val="18"/>
                <w:lang w:val="en-GB"/>
              </w:rPr>
            </w:pPr>
            <w:r>
              <w:rPr>
                <w:rFonts w:cs="Arial"/>
                <w:szCs w:val="18"/>
                <w:lang w:val="en-GB"/>
              </w:rPr>
              <w:t>0.61 ± 0.04</w:t>
            </w:r>
          </w:p>
        </w:tc>
        <w:tc>
          <w:tcPr>
            <w:tcW w:w="1134" w:type="dxa"/>
            <w:shd w:val="clear" w:color="auto" w:fill="FFFFFF"/>
          </w:tcPr>
          <w:p w14:paraId="64C99652" w14:textId="07CF9B19" w:rsidR="00A35283" w:rsidRPr="00B57B36" w:rsidRDefault="005F0246" w:rsidP="000528F5">
            <w:pPr>
              <w:pStyle w:val="CETBodytext"/>
              <w:ind w:right="-1"/>
              <w:jc w:val="center"/>
              <w:rPr>
                <w:rFonts w:cs="Arial"/>
                <w:szCs w:val="18"/>
                <w:lang w:val="en-GB"/>
              </w:rPr>
            </w:pPr>
            <w:r>
              <w:rPr>
                <w:rFonts w:cs="Arial"/>
                <w:szCs w:val="18"/>
                <w:lang w:val="en-GB"/>
              </w:rPr>
              <w:t>43.3 ± 0.7</w:t>
            </w:r>
          </w:p>
        </w:tc>
        <w:tc>
          <w:tcPr>
            <w:tcW w:w="1134" w:type="dxa"/>
            <w:shd w:val="clear" w:color="auto" w:fill="FFFFFF"/>
          </w:tcPr>
          <w:p w14:paraId="2498AAFF" w14:textId="68085474" w:rsidR="00A35283" w:rsidRPr="00B57B36" w:rsidRDefault="005F0246" w:rsidP="000528F5">
            <w:pPr>
              <w:pStyle w:val="CETBodytext"/>
              <w:ind w:right="-1"/>
              <w:jc w:val="center"/>
              <w:rPr>
                <w:rFonts w:cs="Arial"/>
                <w:szCs w:val="18"/>
                <w:lang w:val="en-GB"/>
              </w:rPr>
            </w:pPr>
            <w:r>
              <w:rPr>
                <w:rFonts w:cs="Arial"/>
                <w:szCs w:val="18"/>
                <w:lang w:val="en-GB"/>
              </w:rPr>
              <w:t>64 ± 2</w:t>
            </w:r>
          </w:p>
        </w:tc>
        <w:tc>
          <w:tcPr>
            <w:tcW w:w="1134" w:type="dxa"/>
            <w:shd w:val="clear" w:color="auto" w:fill="FFFFFF"/>
          </w:tcPr>
          <w:p w14:paraId="0FE4BEFF" w14:textId="28279C88" w:rsidR="00A35283" w:rsidRPr="00B57B36" w:rsidRDefault="005F0246" w:rsidP="000528F5">
            <w:pPr>
              <w:pStyle w:val="CETBodytext"/>
              <w:ind w:right="-1"/>
              <w:jc w:val="center"/>
              <w:rPr>
                <w:rFonts w:cs="Arial"/>
                <w:szCs w:val="18"/>
                <w:lang w:val="en-GB"/>
              </w:rPr>
            </w:pPr>
            <w:r>
              <w:rPr>
                <w:rFonts w:cs="Arial"/>
                <w:szCs w:val="18"/>
                <w:lang w:val="en-GB"/>
              </w:rPr>
              <w:t>79 ± 4</w:t>
            </w:r>
          </w:p>
        </w:tc>
      </w:tr>
      <w:tr w:rsidR="00A35283" w:rsidRPr="00B57B36" w14:paraId="79EC7F0B" w14:textId="77777777" w:rsidTr="000528F5">
        <w:tc>
          <w:tcPr>
            <w:tcW w:w="1276" w:type="dxa"/>
            <w:shd w:val="clear" w:color="auto" w:fill="FFFFFF"/>
          </w:tcPr>
          <w:p w14:paraId="2B645518" w14:textId="0030A6F3" w:rsidR="00A35283" w:rsidRPr="00B57B36" w:rsidRDefault="00A35283" w:rsidP="00A35283">
            <w:pPr>
              <w:pStyle w:val="CETBodytext"/>
              <w:ind w:right="-1"/>
              <w:rPr>
                <w:rFonts w:cs="Arial"/>
                <w:szCs w:val="18"/>
                <w:lang w:val="en-GB"/>
              </w:rPr>
            </w:pPr>
            <w:r w:rsidRPr="00A35283">
              <w:rPr>
                <w:rFonts w:cs="Arial"/>
                <w:szCs w:val="18"/>
                <w:lang w:val="en-GB"/>
              </w:rPr>
              <w:t>HC</w:t>
            </w:r>
            <w:r w:rsidRPr="00A35283">
              <w:rPr>
                <w:rFonts w:cs="Arial"/>
                <w:szCs w:val="18"/>
                <w:vertAlign w:val="subscript"/>
                <w:lang w:val="en-GB"/>
              </w:rPr>
              <w:t>BS</w:t>
            </w:r>
            <w:r>
              <w:rPr>
                <w:rFonts w:cs="Arial"/>
                <w:szCs w:val="18"/>
                <w:lang w:val="en-GB"/>
              </w:rPr>
              <w:t xml:space="preserve"> </w:t>
            </w:r>
            <w:r w:rsidRPr="00A35283">
              <w:rPr>
                <w:rFonts w:cs="Arial"/>
                <w:szCs w:val="18"/>
                <w:lang w:val="en-GB"/>
              </w:rPr>
              <w:t xml:space="preserve">160, </w:t>
            </w:r>
            <w:r w:rsidR="000528F5">
              <w:rPr>
                <w:rFonts w:cs="Arial"/>
                <w:szCs w:val="18"/>
                <w:lang w:val="en-GB"/>
              </w:rPr>
              <w:t>60</w:t>
            </w:r>
          </w:p>
        </w:tc>
        <w:tc>
          <w:tcPr>
            <w:tcW w:w="992" w:type="dxa"/>
            <w:shd w:val="clear" w:color="auto" w:fill="FFFFFF"/>
          </w:tcPr>
          <w:p w14:paraId="43213344" w14:textId="1ADEDA93" w:rsidR="00A35283" w:rsidRPr="00B57B36" w:rsidRDefault="005F0246" w:rsidP="000528F5">
            <w:pPr>
              <w:pStyle w:val="CETBodytext"/>
              <w:ind w:right="-1"/>
              <w:jc w:val="center"/>
              <w:rPr>
                <w:rFonts w:cs="Arial"/>
                <w:szCs w:val="18"/>
                <w:lang w:val="en-GB"/>
              </w:rPr>
            </w:pPr>
            <w:r>
              <w:rPr>
                <w:rFonts w:cs="Arial"/>
                <w:szCs w:val="18"/>
                <w:lang w:val="en-GB"/>
              </w:rPr>
              <w:t>53 ± 3</w:t>
            </w:r>
          </w:p>
        </w:tc>
        <w:tc>
          <w:tcPr>
            <w:tcW w:w="1134" w:type="dxa"/>
            <w:shd w:val="clear" w:color="auto" w:fill="FFFFFF"/>
          </w:tcPr>
          <w:p w14:paraId="6BB87E5C" w14:textId="5263BCEF" w:rsidR="00A35283" w:rsidRPr="00B57B36" w:rsidRDefault="005F0246" w:rsidP="000528F5">
            <w:pPr>
              <w:pStyle w:val="CETBodytext"/>
              <w:ind w:right="-1"/>
              <w:jc w:val="center"/>
              <w:rPr>
                <w:rFonts w:cs="Arial"/>
                <w:szCs w:val="18"/>
                <w:lang w:val="en-GB"/>
              </w:rPr>
            </w:pPr>
            <w:r>
              <w:rPr>
                <w:rFonts w:cs="Arial"/>
                <w:szCs w:val="18"/>
                <w:lang w:val="en-GB"/>
              </w:rPr>
              <w:t>5.83 ± 0.07</w:t>
            </w:r>
          </w:p>
        </w:tc>
        <w:tc>
          <w:tcPr>
            <w:tcW w:w="1134" w:type="dxa"/>
            <w:shd w:val="clear" w:color="auto" w:fill="FFFFFF"/>
          </w:tcPr>
          <w:p w14:paraId="1FD47447" w14:textId="7AB928C4" w:rsidR="00A35283" w:rsidRPr="00B57B36" w:rsidRDefault="005F0246" w:rsidP="000528F5">
            <w:pPr>
              <w:pStyle w:val="CETBodytext"/>
              <w:ind w:right="-1"/>
              <w:jc w:val="center"/>
              <w:rPr>
                <w:rFonts w:cs="Arial"/>
                <w:szCs w:val="18"/>
                <w:lang w:val="en-GB"/>
              </w:rPr>
            </w:pPr>
            <w:r>
              <w:rPr>
                <w:rFonts w:cs="Arial"/>
                <w:szCs w:val="18"/>
                <w:lang w:val="en-GB"/>
              </w:rPr>
              <w:t>0.60 ± 0.05</w:t>
            </w:r>
          </w:p>
        </w:tc>
        <w:tc>
          <w:tcPr>
            <w:tcW w:w="1134" w:type="dxa"/>
            <w:shd w:val="clear" w:color="auto" w:fill="FFFFFF"/>
          </w:tcPr>
          <w:p w14:paraId="347D8E27" w14:textId="2D65937D" w:rsidR="00A35283" w:rsidRPr="00B57B36" w:rsidRDefault="005F0246" w:rsidP="000528F5">
            <w:pPr>
              <w:pStyle w:val="CETBodytext"/>
              <w:ind w:right="-1"/>
              <w:jc w:val="center"/>
              <w:rPr>
                <w:rFonts w:cs="Arial"/>
                <w:szCs w:val="18"/>
                <w:lang w:val="en-GB"/>
              </w:rPr>
            </w:pPr>
            <w:r>
              <w:rPr>
                <w:rFonts w:cs="Arial"/>
                <w:szCs w:val="18"/>
                <w:lang w:val="en-GB"/>
              </w:rPr>
              <w:t>41 ± 3</w:t>
            </w:r>
          </w:p>
        </w:tc>
        <w:tc>
          <w:tcPr>
            <w:tcW w:w="1134" w:type="dxa"/>
            <w:shd w:val="clear" w:color="auto" w:fill="FFFFFF"/>
          </w:tcPr>
          <w:p w14:paraId="4FC33726" w14:textId="3B742EA8" w:rsidR="00A35283" w:rsidRPr="00B57B36" w:rsidRDefault="005F0246" w:rsidP="000528F5">
            <w:pPr>
              <w:pStyle w:val="CETBodytext"/>
              <w:ind w:right="-1"/>
              <w:jc w:val="center"/>
              <w:rPr>
                <w:rFonts w:cs="Arial"/>
                <w:szCs w:val="18"/>
                <w:lang w:val="en-GB"/>
              </w:rPr>
            </w:pPr>
            <w:r>
              <w:rPr>
                <w:rFonts w:cs="Arial"/>
                <w:szCs w:val="18"/>
                <w:lang w:val="en-GB"/>
              </w:rPr>
              <w:t>60 ± 6</w:t>
            </w:r>
          </w:p>
        </w:tc>
        <w:tc>
          <w:tcPr>
            <w:tcW w:w="1134" w:type="dxa"/>
            <w:shd w:val="clear" w:color="auto" w:fill="FFFFFF"/>
          </w:tcPr>
          <w:p w14:paraId="0F278380" w14:textId="6977B289" w:rsidR="00A35283" w:rsidRPr="00B57B36" w:rsidRDefault="005F0246" w:rsidP="000528F5">
            <w:pPr>
              <w:pStyle w:val="CETBodytext"/>
              <w:ind w:right="-1"/>
              <w:jc w:val="center"/>
              <w:rPr>
                <w:rFonts w:cs="Arial"/>
                <w:szCs w:val="18"/>
                <w:lang w:val="en-GB"/>
              </w:rPr>
            </w:pPr>
            <w:r>
              <w:rPr>
                <w:rFonts w:cs="Arial"/>
                <w:szCs w:val="18"/>
                <w:lang w:val="en-GB"/>
              </w:rPr>
              <w:t>78 ± 3</w:t>
            </w:r>
          </w:p>
        </w:tc>
      </w:tr>
      <w:tr w:rsidR="00A35283" w:rsidRPr="00B57B36" w14:paraId="659CDADF" w14:textId="77777777" w:rsidTr="000528F5">
        <w:tc>
          <w:tcPr>
            <w:tcW w:w="1276" w:type="dxa"/>
            <w:shd w:val="clear" w:color="auto" w:fill="FFFFFF"/>
          </w:tcPr>
          <w:p w14:paraId="00D2B605" w14:textId="3066046B" w:rsidR="00A35283" w:rsidRPr="00B57B36" w:rsidRDefault="00A35283" w:rsidP="00A35283">
            <w:pPr>
              <w:pStyle w:val="CETBodytext"/>
              <w:ind w:right="-1"/>
              <w:rPr>
                <w:rFonts w:cs="Arial"/>
                <w:szCs w:val="18"/>
                <w:lang w:val="en-GB"/>
              </w:rPr>
            </w:pPr>
            <w:r w:rsidRPr="00A35283">
              <w:rPr>
                <w:rFonts w:cs="Arial"/>
                <w:szCs w:val="18"/>
                <w:lang w:val="en-GB"/>
              </w:rPr>
              <w:t>HC</w:t>
            </w:r>
            <w:r w:rsidRPr="00A35283">
              <w:rPr>
                <w:rFonts w:cs="Arial"/>
                <w:szCs w:val="18"/>
                <w:vertAlign w:val="subscript"/>
                <w:lang w:val="en-GB"/>
              </w:rPr>
              <w:t>BS</w:t>
            </w:r>
            <w:r>
              <w:rPr>
                <w:rFonts w:cs="Arial"/>
                <w:szCs w:val="18"/>
                <w:lang w:val="en-GB"/>
              </w:rPr>
              <w:t xml:space="preserve"> </w:t>
            </w:r>
            <w:r w:rsidRPr="00A35283">
              <w:rPr>
                <w:rFonts w:cs="Arial"/>
                <w:szCs w:val="18"/>
                <w:lang w:val="en-GB"/>
              </w:rPr>
              <w:t>1</w:t>
            </w:r>
            <w:r w:rsidR="000528F5">
              <w:rPr>
                <w:rFonts w:cs="Arial"/>
                <w:szCs w:val="18"/>
                <w:lang w:val="en-GB"/>
              </w:rPr>
              <w:t>9</w:t>
            </w:r>
            <w:r w:rsidRPr="00A35283">
              <w:rPr>
                <w:rFonts w:cs="Arial"/>
                <w:szCs w:val="18"/>
                <w:lang w:val="en-GB"/>
              </w:rPr>
              <w:t>0, 15</w:t>
            </w:r>
          </w:p>
        </w:tc>
        <w:tc>
          <w:tcPr>
            <w:tcW w:w="992" w:type="dxa"/>
            <w:shd w:val="clear" w:color="auto" w:fill="FFFFFF"/>
          </w:tcPr>
          <w:p w14:paraId="2E9D9C62" w14:textId="5EB7DBA7" w:rsidR="00A35283" w:rsidRPr="00B57B36" w:rsidRDefault="005F0246" w:rsidP="000528F5">
            <w:pPr>
              <w:pStyle w:val="CETBodytext"/>
              <w:ind w:right="-1"/>
              <w:jc w:val="center"/>
              <w:rPr>
                <w:rFonts w:cs="Arial"/>
                <w:szCs w:val="18"/>
                <w:lang w:val="en-GB"/>
              </w:rPr>
            </w:pPr>
            <w:r>
              <w:rPr>
                <w:rFonts w:cs="Arial"/>
                <w:szCs w:val="18"/>
                <w:lang w:val="en-GB"/>
              </w:rPr>
              <w:t>52 ± 1</w:t>
            </w:r>
          </w:p>
        </w:tc>
        <w:tc>
          <w:tcPr>
            <w:tcW w:w="1134" w:type="dxa"/>
            <w:shd w:val="clear" w:color="auto" w:fill="FFFFFF"/>
          </w:tcPr>
          <w:p w14:paraId="6F8528C7" w14:textId="319187AC" w:rsidR="00A35283" w:rsidRPr="00B57B36" w:rsidRDefault="005F0246" w:rsidP="000528F5">
            <w:pPr>
              <w:pStyle w:val="CETBodytext"/>
              <w:ind w:right="-1"/>
              <w:jc w:val="center"/>
              <w:rPr>
                <w:rFonts w:cs="Arial"/>
                <w:szCs w:val="18"/>
                <w:lang w:val="en-GB"/>
              </w:rPr>
            </w:pPr>
            <w:r>
              <w:rPr>
                <w:rFonts w:cs="Arial"/>
                <w:szCs w:val="18"/>
                <w:lang w:val="en-GB"/>
              </w:rPr>
              <w:t>5.8 ± 0.4</w:t>
            </w:r>
          </w:p>
        </w:tc>
        <w:tc>
          <w:tcPr>
            <w:tcW w:w="1134" w:type="dxa"/>
            <w:shd w:val="clear" w:color="auto" w:fill="FFFFFF"/>
          </w:tcPr>
          <w:p w14:paraId="627A4314" w14:textId="04A79320" w:rsidR="00A35283" w:rsidRPr="00B57B36" w:rsidRDefault="005F0246" w:rsidP="000528F5">
            <w:pPr>
              <w:pStyle w:val="CETBodytext"/>
              <w:ind w:right="-1"/>
              <w:jc w:val="center"/>
              <w:rPr>
                <w:rFonts w:cs="Arial"/>
                <w:szCs w:val="18"/>
                <w:lang w:val="en-GB"/>
              </w:rPr>
            </w:pPr>
            <w:r>
              <w:rPr>
                <w:rFonts w:cs="Arial"/>
                <w:szCs w:val="18"/>
                <w:lang w:val="en-GB"/>
              </w:rPr>
              <w:t>0.59 ± 0.01</w:t>
            </w:r>
          </w:p>
        </w:tc>
        <w:tc>
          <w:tcPr>
            <w:tcW w:w="1134" w:type="dxa"/>
            <w:shd w:val="clear" w:color="auto" w:fill="FFFFFF"/>
          </w:tcPr>
          <w:p w14:paraId="076C4457" w14:textId="3ED33356" w:rsidR="00A35283" w:rsidRPr="00B57B36" w:rsidRDefault="005F0246" w:rsidP="000528F5">
            <w:pPr>
              <w:pStyle w:val="CETBodytext"/>
              <w:ind w:right="-1"/>
              <w:jc w:val="center"/>
              <w:rPr>
                <w:rFonts w:cs="Arial"/>
                <w:szCs w:val="18"/>
                <w:lang w:val="en-GB"/>
              </w:rPr>
            </w:pPr>
            <w:r>
              <w:rPr>
                <w:rFonts w:cs="Arial"/>
                <w:szCs w:val="18"/>
                <w:lang w:val="en-GB"/>
              </w:rPr>
              <w:t>42 ± 2</w:t>
            </w:r>
          </w:p>
        </w:tc>
        <w:tc>
          <w:tcPr>
            <w:tcW w:w="1134" w:type="dxa"/>
            <w:shd w:val="clear" w:color="auto" w:fill="FFFFFF"/>
          </w:tcPr>
          <w:p w14:paraId="5F866A90" w14:textId="5C037791" w:rsidR="00A35283" w:rsidRPr="00B57B36" w:rsidRDefault="005F0246" w:rsidP="000528F5">
            <w:pPr>
              <w:pStyle w:val="CETBodytext"/>
              <w:ind w:right="-1"/>
              <w:jc w:val="center"/>
              <w:rPr>
                <w:rFonts w:cs="Arial"/>
                <w:szCs w:val="18"/>
                <w:lang w:val="en-GB"/>
              </w:rPr>
            </w:pPr>
            <w:r>
              <w:rPr>
                <w:rFonts w:cs="Arial"/>
                <w:szCs w:val="18"/>
                <w:lang w:val="en-GB"/>
              </w:rPr>
              <w:t>64 ± 3</w:t>
            </w:r>
          </w:p>
        </w:tc>
        <w:tc>
          <w:tcPr>
            <w:tcW w:w="1134" w:type="dxa"/>
            <w:shd w:val="clear" w:color="auto" w:fill="FFFFFF"/>
          </w:tcPr>
          <w:p w14:paraId="42B2EF8D" w14:textId="68C2822A" w:rsidR="00A35283" w:rsidRPr="00B57B36" w:rsidRDefault="005F0246" w:rsidP="000528F5">
            <w:pPr>
              <w:pStyle w:val="CETBodytext"/>
              <w:ind w:right="-1"/>
              <w:jc w:val="center"/>
              <w:rPr>
                <w:rFonts w:cs="Arial"/>
                <w:szCs w:val="18"/>
                <w:lang w:val="en-GB"/>
              </w:rPr>
            </w:pPr>
            <w:r>
              <w:rPr>
                <w:rFonts w:cs="Arial"/>
                <w:szCs w:val="18"/>
                <w:lang w:val="en-GB"/>
              </w:rPr>
              <w:t>81 ± 2</w:t>
            </w:r>
          </w:p>
        </w:tc>
      </w:tr>
      <w:tr w:rsidR="00A35283" w:rsidRPr="00B57B36" w14:paraId="7D235BE9" w14:textId="77777777" w:rsidTr="000528F5">
        <w:tc>
          <w:tcPr>
            <w:tcW w:w="1276" w:type="dxa"/>
            <w:shd w:val="clear" w:color="auto" w:fill="FFFFFF"/>
          </w:tcPr>
          <w:p w14:paraId="4D85975E" w14:textId="6763E6CF" w:rsidR="00A35283" w:rsidRPr="00B57B36" w:rsidRDefault="00A35283" w:rsidP="00A35283">
            <w:pPr>
              <w:pStyle w:val="CETBodytext"/>
              <w:ind w:right="-1"/>
              <w:rPr>
                <w:rFonts w:cs="Arial"/>
                <w:szCs w:val="18"/>
                <w:lang w:val="en-GB"/>
              </w:rPr>
            </w:pPr>
            <w:r w:rsidRPr="00A35283">
              <w:rPr>
                <w:rFonts w:cs="Arial"/>
                <w:szCs w:val="18"/>
                <w:lang w:val="en-GB"/>
              </w:rPr>
              <w:t>HC</w:t>
            </w:r>
            <w:r w:rsidRPr="00A35283">
              <w:rPr>
                <w:rFonts w:cs="Arial"/>
                <w:szCs w:val="18"/>
                <w:vertAlign w:val="subscript"/>
                <w:lang w:val="en-GB"/>
              </w:rPr>
              <w:t>BS</w:t>
            </w:r>
            <w:r>
              <w:rPr>
                <w:rFonts w:cs="Arial"/>
                <w:szCs w:val="18"/>
                <w:lang w:val="en-GB"/>
              </w:rPr>
              <w:t xml:space="preserve"> </w:t>
            </w:r>
            <w:r w:rsidRPr="00A35283">
              <w:rPr>
                <w:rFonts w:cs="Arial"/>
                <w:szCs w:val="18"/>
                <w:lang w:val="en-GB"/>
              </w:rPr>
              <w:t>1</w:t>
            </w:r>
            <w:r w:rsidR="000528F5">
              <w:rPr>
                <w:rFonts w:cs="Arial"/>
                <w:szCs w:val="18"/>
                <w:lang w:val="en-GB"/>
              </w:rPr>
              <w:t>9</w:t>
            </w:r>
            <w:r w:rsidRPr="00A35283">
              <w:rPr>
                <w:rFonts w:cs="Arial"/>
                <w:szCs w:val="18"/>
                <w:lang w:val="en-GB"/>
              </w:rPr>
              <w:t xml:space="preserve">0, </w:t>
            </w:r>
            <w:r w:rsidR="000528F5">
              <w:rPr>
                <w:rFonts w:cs="Arial"/>
                <w:szCs w:val="18"/>
                <w:lang w:val="en-GB"/>
              </w:rPr>
              <w:t>60</w:t>
            </w:r>
          </w:p>
        </w:tc>
        <w:tc>
          <w:tcPr>
            <w:tcW w:w="992" w:type="dxa"/>
            <w:shd w:val="clear" w:color="auto" w:fill="FFFFFF"/>
          </w:tcPr>
          <w:p w14:paraId="190CE2BE" w14:textId="3CFF17B2" w:rsidR="00A35283" w:rsidRPr="00B57B36" w:rsidRDefault="005F0246" w:rsidP="000528F5">
            <w:pPr>
              <w:pStyle w:val="CETBodytext"/>
              <w:ind w:right="-1"/>
              <w:jc w:val="center"/>
              <w:rPr>
                <w:rFonts w:cs="Arial"/>
                <w:szCs w:val="18"/>
                <w:lang w:val="en-GB"/>
              </w:rPr>
            </w:pPr>
            <w:r>
              <w:rPr>
                <w:rFonts w:cs="Arial"/>
                <w:szCs w:val="18"/>
                <w:lang w:val="en-GB"/>
              </w:rPr>
              <w:t>55 ± 3</w:t>
            </w:r>
          </w:p>
        </w:tc>
        <w:tc>
          <w:tcPr>
            <w:tcW w:w="1134" w:type="dxa"/>
            <w:shd w:val="clear" w:color="auto" w:fill="FFFFFF"/>
          </w:tcPr>
          <w:p w14:paraId="1E635497" w14:textId="0A86ADD6" w:rsidR="00A35283" w:rsidRPr="00B57B36" w:rsidRDefault="005F0246" w:rsidP="000528F5">
            <w:pPr>
              <w:pStyle w:val="CETBodytext"/>
              <w:ind w:right="-1"/>
              <w:jc w:val="center"/>
              <w:rPr>
                <w:rFonts w:cs="Arial"/>
                <w:szCs w:val="18"/>
                <w:lang w:val="en-GB"/>
              </w:rPr>
            </w:pPr>
            <w:r>
              <w:rPr>
                <w:rFonts w:cs="Arial"/>
                <w:szCs w:val="18"/>
                <w:lang w:val="en-GB"/>
              </w:rPr>
              <w:t>5.8 ± 0.1</w:t>
            </w:r>
          </w:p>
        </w:tc>
        <w:tc>
          <w:tcPr>
            <w:tcW w:w="1134" w:type="dxa"/>
            <w:shd w:val="clear" w:color="auto" w:fill="FFFFFF"/>
          </w:tcPr>
          <w:p w14:paraId="63B0D5DB" w14:textId="20075502" w:rsidR="00A35283" w:rsidRPr="00B57B36" w:rsidRDefault="005F0246" w:rsidP="000528F5">
            <w:pPr>
              <w:pStyle w:val="CETBodytext"/>
              <w:ind w:right="-1"/>
              <w:jc w:val="center"/>
              <w:rPr>
                <w:rFonts w:cs="Arial"/>
                <w:szCs w:val="18"/>
                <w:lang w:val="en-GB"/>
              </w:rPr>
            </w:pPr>
            <w:r>
              <w:rPr>
                <w:rFonts w:cs="Arial"/>
                <w:szCs w:val="18"/>
                <w:lang w:val="en-GB"/>
              </w:rPr>
              <w:t>0.65 ± 0.08</w:t>
            </w:r>
          </w:p>
        </w:tc>
        <w:tc>
          <w:tcPr>
            <w:tcW w:w="1134" w:type="dxa"/>
            <w:shd w:val="clear" w:color="auto" w:fill="FFFFFF"/>
          </w:tcPr>
          <w:p w14:paraId="12092AD2" w14:textId="588CD307" w:rsidR="00A35283" w:rsidRPr="00B57B36" w:rsidRDefault="005F0246" w:rsidP="000528F5">
            <w:pPr>
              <w:pStyle w:val="CETBodytext"/>
              <w:ind w:right="-1"/>
              <w:jc w:val="center"/>
              <w:rPr>
                <w:rFonts w:cs="Arial"/>
                <w:szCs w:val="18"/>
                <w:lang w:val="en-GB"/>
              </w:rPr>
            </w:pPr>
            <w:r>
              <w:rPr>
                <w:rFonts w:cs="Arial"/>
                <w:szCs w:val="18"/>
                <w:lang w:val="en-GB"/>
              </w:rPr>
              <w:t>39 ± 3</w:t>
            </w:r>
          </w:p>
        </w:tc>
        <w:tc>
          <w:tcPr>
            <w:tcW w:w="1134" w:type="dxa"/>
            <w:shd w:val="clear" w:color="auto" w:fill="FFFFFF"/>
          </w:tcPr>
          <w:p w14:paraId="04BC8239" w14:textId="572CDADC" w:rsidR="00A35283" w:rsidRPr="00B57B36" w:rsidRDefault="005F0246" w:rsidP="000528F5">
            <w:pPr>
              <w:pStyle w:val="CETBodytext"/>
              <w:ind w:right="-1"/>
              <w:jc w:val="center"/>
              <w:rPr>
                <w:rFonts w:cs="Arial"/>
                <w:szCs w:val="18"/>
                <w:lang w:val="en-GB"/>
              </w:rPr>
            </w:pPr>
            <w:r>
              <w:rPr>
                <w:rFonts w:cs="Arial"/>
                <w:szCs w:val="18"/>
                <w:lang w:val="en-GB"/>
              </w:rPr>
              <w:t>55 ± 4</w:t>
            </w:r>
          </w:p>
        </w:tc>
        <w:tc>
          <w:tcPr>
            <w:tcW w:w="1134" w:type="dxa"/>
            <w:shd w:val="clear" w:color="auto" w:fill="FFFFFF"/>
          </w:tcPr>
          <w:p w14:paraId="4EDC8692" w14:textId="445F09EE" w:rsidR="00A35283" w:rsidRPr="00B57B36" w:rsidRDefault="005F0246" w:rsidP="000528F5">
            <w:pPr>
              <w:pStyle w:val="CETBodytext"/>
              <w:ind w:right="-1"/>
              <w:jc w:val="center"/>
              <w:rPr>
                <w:rFonts w:cs="Arial"/>
                <w:szCs w:val="18"/>
                <w:lang w:val="en-GB"/>
              </w:rPr>
            </w:pPr>
            <w:r>
              <w:rPr>
                <w:rFonts w:cs="Arial"/>
                <w:szCs w:val="18"/>
                <w:lang w:val="en-GB"/>
              </w:rPr>
              <w:t>74 ± 2</w:t>
            </w:r>
          </w:p>
        </w:tc>
      </w:tr>
    </w:tbl>
    <w:p w14:paraId="19D8FD5E" w14:textId="77777777" w:rsidR="00C9792C" w:rsidRDefault="00C9792C" w:rsidP="00C9792C">
      <w:pPr>
        <w:pStyle w:val="CETBodytext"/>
        <w:rPr>
          <w:lang w:eastAsia="en-GB"/>
        </w:rPr>
      </w:pPr>
    </w:p>
    <w:p w14:paraId="259E5976" w14:textId="58512454" w:rsidR="00A776B6" w:rsidRPr="001E05E2" w:rsidRDefault="00C9792C" w:rsidP="00A776B6">
      <w:pPr>
        <w:pStyle w:val="CETBodytext"/>
        <w:rPr>
          <w:lang w:eastAsia="en-GB"/>
        </w:rPr>
      </w:pPr>
      <w:r w:rsidRPr="00C9792C">
        <w:rPr>
          <w:lang w:eastAsia="en-GB"/>
        </w:rPr>
        <w:t>The water extract deriv</w:t>
      </w:r>
      <w:r>
        <w:rPr>
          <w:lang w:eastAsia="en-GB"/>
        </w:rPr>
        <w:t>ed</w:t>
      </w:r>
      <w:r w:rsidRPr="00C9792C">
        <w:rPr>
          <w:lang w:eastAsia="en-GB"/>
        </w:rPr>
        <w:t xml:space="preserve"> from</w:t>
      </w:r>
      <w:r>
        <w:rPr>
          <w:lang w:eastAsia="en-GB"/>
        </w:rPr>
        <w:t xml:space="preserve"> HTC of</w:t>
      </w:r>
      <w:r w:rsidRPr="00C9792C">
        <w:rPr>
          <w:lang w:eastAsia="en-GB"/>
        </w:rPr>
        <w:t xml:space="preserve"> </w:t>
      </w:r>
      <w:r>
        <w:rPr>
          <w:lang w:eastAsia="en-GB"/>
        </w:rPr>
        <w:t xml:space="preserve">the </w:t>
      </w:r>
      <w:r w:rsidRPr="00C9792C">
        <w:rPr>
          <w:lang w:eastAsia="en-GB"/>
        </w:rPr>
        <w:t>orange peels was characterized by a high total COD content (</w:t>
      </w:r>
      <w:r w:rsidR="00C30AA0">
        <w:rPr>
          <w:lang w:eastAsia="en-GB"/>
        </w:rPr>
        <w:t>up to</w:t>
      </w:r>
      <w:r w:rsidRPr="00C9792C">
        <w:rPr>
          <w:lang w:eastAsia="en-GB"/>
        </w:rPr>
        <w:t xml:space="preserve"> 161 </w:t>
      </w:r>
      <w:r w:rsidR="00C30AA0">
        <w:rPr>
          <w:rFonts w:cs="Arial"/>
          <w:lang w:eastAsia="en-GB"/>
        </w:rPr>
        <w:t>±</w:t>
      </w:r>
      <w:r w:rsidR="00C30AA0">
        <w:rPr>
          <w:lang w:eastAsia="en-GB"/>
        </w:rPr>
        <w:t xml:space="preserve"> 1 </w:t>
      </w:r>
      <w:r w:rsidRPr="00C9792C">
        <w:rPr>
          <w:lang w:eastAsia="en-GB"/>
        </w:rPr>
        <w:t>g</w:t>
      </w:r>
      <w:r w:rsidR="00C30AA0">
        <w:rPr>
          <w:lang w:eastAsia="en-GB"/>
        </w:rPr>
        <w:t xml:space="preserve"> </w:t>
      </w:r>
      <w:r w:rsidRPr="00C9792C">
        <w:rPr>
          <w:lang w:eastAsia="en-GB"/>
        </w:rPr>
        <w:t>L</w:t>
      </w:r>
      <w:r w:rsidR="00C30AA0" w:rsidRPr="00C30AA0">
        <w:rPr>
          <w:vertAlign w:val="superscript"/>
          <w:lang w:eastAsia="en-GB"/>
        </w:rPr>
        <w:t>-1</w:t>
      </w:r>
      <w:r w:rsidR="00C30AA0">
        <w:rPr>
          <w:lang w:eastAsia="en-GB"/>
        </w:rPr>
        <w:t xml:space="preserve"> for 15 min reaction time</w:t>
      </w:r>
      <w:r w:rsidRPr="00C9792C">
        <w:rPr>
          <w:lang w:eastAsia="en-GB"/>
        </w:rPr>
        <w:t xml:space="preserve">), but </w:t>
      </w:r>
      <w:r w:rsidR="00477466">
        <w:rPr>
          <w:lang w:eastAsia="en-GB"/>
        </w:rPr>
        <w:t>negligible concentration</w:t>
      </w:r>
      <w:r w:rsidR="00C30AA0">
        <w:rPr>
          <w:lang w:eastAsia="en-GB"/>
        </w:rPr>
        <w:t>s</w:t>
      </w:r>
      <w:r w:rsidR="00477466">
        <w:rPr>
          <w:lang w:eastAsia="en-GB"/>
        </w:rPr>
        <w:t xml:space="preserve"> of </w:t>
      </w:r>
      <w:r w:rsidRPr="00C9792C">
        <w:rPr>
          <w:lang w:eastAsia="en-GB"/>
        </w:rPr>
        <w:t xml:space="preserve">soluble carboxylic acids necessary for </w:t>
      </w:r>
      <w:r w:rsidR="00BB0E49" w:rsidRPr="00C9792C">
        <w:rPr>
          <w:lang w:eastAsia="en-GB"/>
        </w:rPr>
        <w:t>PHA production</w:t>
      </w:r>
      <w:r w:rsidR="00BB0E49">
        <w:rPr>
          <w:lang w:eastAsia="en-GB"/>
        </w:rPr>
        <w:t xml:space="preserve"> by </w:t>
      </w:r>
      <w:r>
        <w:rPr>
          <w:lang w:eastAsia="en-GB"/>
        </w:rPr>
        <w:t>mixed microbial cultures (</w:t>
      </w:r>
      <w:r w:rsidRPr="00C9792C">
        <w:rPr>
          <w:lang w:eastAsia="en-GB"/>
        </w:rPr>
        <w:t>MMC</w:t>
      </w:r>
      <w:r>
        <w:rPr>
          <w:lang w:eastAsia="en-GB"/>
        </w:rPr>
        <w:t>)</w:t>
      </w:r>
      <w:r w:rsidR="00835800">
        <w:rPr>
          <w:lang w:eastAsia="en-GB"/>
        </w:rPr>
        <w:t xml:space="preserve"> were detected</w:t>
      </w:r>
      <w:r w:rsidRPr="00C9792C">
        <w:rPr>
          <w:lang w:eastAsia="en-GB"/>
        </w:rPr>
        <w:t xml:space="preserve">. Instead, the aqueous extracts from HTC performed on barley straw at </w:t>
      </w:r>
      <w:r>
        <w:rPr>
          <w:lang w:eastAsia="en-GB"/>
        </w:rPr>
        <w:t xml:space="preserve">both </w:t>
      </w:r>
      <w:r w:rsidRPr="00C9792C">
        <w:rPr>
          <w:lang w:eastAsia="en-GB"/>
        </w:rPr>
        <w:t xml:space="preserve">160 °C and 190 °C showed a higher </w:t>
      </w:r>
      <w:r>
        <w:rPr>
          <w:lang w:eastAsia="en-GB"/>
        </w:rPr>
        <w:t xml:space="preserve">organic </w:t>
      </w:r>
      <w:r w:rsidRPr="00C9792C">
        <w:rPr>
          <w:lang w:eastAsia="en-GB"/>
        </w:rPr>
        <w:t>acid content</w:t>
      </w:r>
      <w:r>
        <w:rPr>
          <w:lang w:eastAsia="en-GB"/>
        </w:rPr>
        <w:t xml:space="preserve">, despite the </w:t>
      </w:r>
      <w:r w:rsidRPr="00C9792C">
        <w:rPr>
          <w:lang w:eastAsia="en-GB"/>
        </w:rPr>
        <w:t>lower total COD content than the orange peel water extract</w:t>
      </w:r>
      <w:r>
        <w:rPr>
          <w:lang w:eastAsia="en-GB"/>
        </w:rPr>
        <w:t>. The</w:t>
      </w:r>
      <w:r w:rsidRPr="00C9792C">
        <w:rPr>
          <w:lang w:eastAsia="en-GB"/>
        </w:rPr>
        <w:t xml:space="preserve"> resulting COD</w:t>
      </w:r>
      <w:r w:rsidR="00C30AA0">
        <w:rPr>
          <w:vertAlign w:val="subscript"/>
          <w:lang w:eastAsia="en-GB"/>
        </w:rPr>
        <w:t>ACIDS</w:t>
      </w:r>
      <w:r w:rsidRPr="00C9792C">
        <w:rPr>
          <w:lang w:eastAsia="en-GB"/>
        </w:rPr>
        <w:t>/</w:t>
      </w:r>
      <w:proofErr w:type="spellStart"/>
      <w:r w:rsidRPr="00C9792C">
        <w:rPr>
          <w:lang w:eastAsia="en-GB"/>
        </w:rPr>
        <w:t>COD</w:t>
      </w:r>
      <w:r w:rsidRPr="00C9792C">
        <w:rPr>
          <w:vertAlign w:val="subscript"/>
          <w:lang w:eastAsia="en-GB"/>
        </w:rPr>
        <w:t>tot</w:t>
      </w:r>
      <w:proofErr w:type="spellEnd"/>
      <w:r w:rsidRPr="00C9792C">
        <w:rPr>
          <w:lang w:eastAsia="en-GB"/>
        </w:rPr>
        <w:t xml:space="preserve"> ratio </w:t>
      </w:r>
      <w:r>
        <w:rPr>
          <w:lang w:eastAsia="en-GB"/>
        </w:rPr>
        <w:t xml:space="preserve">of HTC water from </w:t>
      </w:r>
      <w:r>
        <w:rPr>
          <w:lang w:eastAsia="en-GB"/>
        </w:rPr>
        <w:lastRenderedPageBreak/>
        <w:t xml:space="preserve">barley straw was </w:t>
      </w:r>
      <w:r w:rsidRPr="00C9792C">
        <w:rPr>
          <w:lang w:eastAsia="en-GB"/>
        </w:rPr>
        <w:t>8% and 17% for HTC performed at 160 °C and 190 °C</w:t>
      </w:r>
      <w:r w:rsidR="00C30AA0">
        <w:rPr>
          <w:lang w:eastAsia="en-GB"/>
        </w:rPr>
        <w:t xml:space="preserve"> (for 15 minutes)</w:t>
      </w:r>
      <w:r w:rsidRPr="00C9792C">
        <w:rPr>
          <w:lang w:eastAsia="en-GB"/>
        </w:rPr>
        <w:t>, respectively</w:t>
      </w:r>
      <w:r>
        <w:rPr>
          <w:lang w:eastAsia="en-GB"/>
        </w:rPr>
        <w:t xml:space="preserve">. </w:t>
      </w:r>
      <w:r w:rsidR="00C30AA0">
        <w:rPr>
          <w:lang w:eastAsia="en-GB"/>
        </w:rPr>
        <w:t xml:space="preserve">However, </w:t>
      </w:r>
      <w:r>
        <w:rPr>
          <w:lang w:eastAsia="en-GB"/>
        </w:rPr>
        <w:t xml:space="preserve">HTC water obtained from </w:t>
      </w:r>
      <w:r w:rsidR="00C30AA0" w:rsidRPr="00C30AA0">
        <w:rPr>
          <w:lang w:eastAsia="en-GB"/>
        </w:rPr>
        <w:t>both biomasses underwent respirometry tests</w:t>
      </w:r>
      <w:r w:rsidRPr="00C9792C">
        <w:rPr>
          <w:lang w:eastAsia="en-GB"/>
        </w:rPr>
        <w:t>. The aqueous extract from the HTC treatment of orange peels</w:t>
      </w:r>
      <w:r w:rsidR="008D291E">
        <w:rPr>
          <w:lang w:eastAsia="en-GB"/>
        </w:rPr>
        <w:t xml:space="preserve"> </w:t>
      </w:r>
      <w:r w:rsidR="006C0679" w:rsidRPr="00C9792C">
        <w:rPr>
          <w:lang w:eastAsia="en-GB"/>
        </w:rPr>
        <w:t xml:space="preserve">at 160 °C for 15 min </w:t>
      </w:r>
      <w:r w:rsidRPr="00C9792C">
        <w:rPr>
          <w:lang w:eastAsia="en-GB"/>
        </w:rPr>
        <w:t xml:space="preserve">showed a low biodegradability (with </w:t>
      </w:r>
      <w:r w:rsidR="008D291E">
        <w:rPr>
          <w:lang w:eastAsia="en-GB"/>
        </w:rPr>
        <w:t xml:space="preserve">only </w:t>
      </w:r>
      <w:r w:rsidRPr="00C9792C">
        <w:rPr>
          <w:lang w:eastAsia="en-GB"/>
        </w:rPr>
        <w:t xml:space="preserve">21% COD consumption). </w:t>
      </w:r>
      <w:r w:rsidR="008D291E">
        <w:rPr>
          <w:lang w:eastAsia="en-GB"/>
        </w:rPr>
        <w:t xml:space="preserve">This was likely due to the </w:t>
      </w:r>
      <w:r w:rsidR="00BB0E49">
        <w:rPr>
          <w:lang w:eastAsia="en-GB"/>
        </w:rPr>
        <w:t xml:space="preserve">excessively high concentration of </w:t>
      </w:r>
      <w:r w:rsidR="008D291E">
        <w:rPr>
          <w:lang w:eastAsia="en-GB"/>
        </w:rPr>
        <w:t xml:space="preserve">phenols and other antimicrobial compounds. </w:t>
      </w:r>
    </w:p>
    <w:p w14:paraId="5247DF27" w14:textId="59D42EDB" w:rsidR="00A776B6" w:rsidRDefault="00A776B6" w:rsidP="00A776B6">
      <w:pPr>
        <w:pStyle w:val="CETBodytext"/>
        <w:rPr>
          <w:lang w:val="en-GB"/>
        </w:rPr>
      </w:pPr>
    </w:p>
    <w:p w14:paraId="3B584198" w14:textId="36264ED3" w:rsidR="00967BDF" w:rsidRPr="00A776B6" w:rsidRDefault="00C30AA0" w:rsidP="00E2633D">
      <w:pPr>
        <w:pStyle w:val="CETBodytext"/>
        <w:jc w:val="left"/>
        <w:rPr>
          <w:lang w:val="en-GB"/>
        </w:rPr>
      </w:pPr>
      <w:r>
        <w:rPr>
          <w:noProof/>
          <w:lang w:val="en-GB"/>
        </w:rPr>
        <w:drawing>
          <wp:inline distT="0" distB="0" distL="0" distR="0" wp14:anchorId="636F9AB1" wp14:editId="1CECB973">
            <wp:extent cx="5494327" cy="2594248"/>
            <wp:effectExtent l="0" t="0" r="0" b="0"/>
            <wp:docPr id="12235648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180" cy="2603622"/>
                    </a:xfrm>
                    <a:prstGeom prst="rect">
                      <a:avLst/>
                    </a:prstGeom>
                    <a:noFill/>
                  </pic:spPr>
                </pic:pic>
              </a:graphicData>
            </a:graphic>
          </wp:inline>
        </w:drawing>
      </w:r>
    </w:p>
    <w:p w14:paraId="7E7F7B1C" w14:textId="6C3538F0" w:rsidR="008D291E" w:rsidRDefault="00C9792C" w:rsidP="008D291E">
      <w:pPr>
        <w:pStyle w:val="CETCaption"/>
        <w:rPr>
          <w:lang w:val="en-US" w:eastAsia="en-GB"/>
        </w:rPr>
      </w:pPr>
      <w:r w:rsidRPr="00C9792C">
        <w:rPr>
          <w:bCs/>
          <w:lang w:val="en-US" w:eastAsia="en-GB"/>
        </w:rPr>
        <w:t>Figure 3:</w:t>
      </w:r>
      <w:r w:rsidRPr="00C9792C">
        <w:rPr>
          <w:lang w:val="en-US" w:eastAsia="en-GB"/>
        </w:rPr>
        <w:t xml:space="preserve"> Trend of the Dissolved Oxygen (DO) concentration during a respirometry test performed with water extract from HTC at 190°C and 15 min</w:t>
      </w:r>
      <w:r w:rsidR="0085536D">
        <w:rPr>
          <w:lang w:val="en-US" w:eastAsia="en-GB"/>
        </w:rPr>
        <w:t xml:space="preserve"> of </w:t>
      </w:r>
      <w:r w:rsidR="0085536D" w:rsidRPr="00C9792C">
        <w:rPr>
          <w:lang w:val="en-US" w:eastAsia="en-GB"/>
        </w:rPr>
        <w:t>barley straw</w:t>
      </w:r>
      <w:r w:rsidRPr="00C9792C">
        <w:rPr>
          <w:lang w:val="en-US" w:eastAsia="en-GB"/>
        </w:rPr>
        <w:t>. The red dots refer to the moments of sampling of the liquid phase and the green/yellow dots to the moments when the acetic acid and HTC water spikes were provided, respectively.</w:t>
      </w:r>
      <w:r w:rsidR="00C30AA0">
        <w:rPr>
          <w:lang w:val="en-US" w:eastAsia="en-GB"/>
        </w:rPr>
        <w:t xml:space="preserve"> </w:t>
      </w:r>
      <w:r w:rsidR="00C30AA0" w:rsidRPr="00C30AA0">
        <w:rPr>
          <w:lang w:val="en-US" w:eastAsia="en-GB"/>
        </w:rPr>
        <w:t>The initial part of the test was used to calculate the oxygen transfer coefficient</w:t>
      </w:r>
      <w:r w:rsidR="00C30AA0">
        <w:rPr>
          <w:lang w:val="en-US" w:eastAsia="en-GB"/>
        </w:rPr>
        <w:t>.</w:t>
      </w:r>
    </w:p>
    <w:p w14:paraId="78122B96" w14:textId="5A6C27A8" w:rsidR="00A776B6" w:rsidRPr="008D291E" w:rsidRDefault="006C0679" w:rsidP="008D291E">
      <w:pPr>
        <w:pStyle w:val="CETBodytext"/>
        <w:rPr>
          <w:i/>
          <w:lang w:eastAsia="en-GB"/>
        </w:rPr>
      </w:pPr>
      <w:r>
        <w:rPr>
          <w:lang w:eastAsia="en-GB"/>
        </w:rPr>
        <w:t>S</w:t>
      </w:r>
      <w:r w:rsidR="008D291E" w:rsidRPr="00C9792C">
        <w:rPr>
          <w:lang w:eastAsia="en-GB"/>
        </w:rPr>
        <w:t>amples from barley straw treated at 190 °C for 15 min showed a high</w:t>
      </w:r>
      <w:r w:rsidR="00C30AA0">
        <w:rPr>
          <w:lang w:eastAsia="en-GB"/>
        </w:rPr>
        <w:t>er</w:t>
      </w:r>
      <w:r w:rsidR="008D291E" w:rsidRPr="00C9792C">
        <w:rPr>
          <w:lang w:eastAsia="en-GB"/>
        </w:rPr>
        <w:t xml:space="preserve"> biodegradability, with an overall </w:t>
      </w:r>
      <w:r>
        <w:rPr>
          <w:lang w:eastAsia="en-GB"/>
        </w:rPr>
        <w:t xml:space="preserve">soluble COD </w:t>
      </w:r>
      <w:r w:rsidR="007C3CC5" w:rsidRPr="00C9792C">
        <w:rPr>
          <w:lang w:eastAsia="en-GB"/>
        </w:rPr>
        <w:t xml:space="preserve">consumption </w:t>
      </w:r>
      <w:r w:rsidR="008D291E" w:rsidRPr="00C9792C">
        <w:rPr>
          <w:lang w:eastAsia="en-GB"/>
        </w:rPr>
        <w:t xml:space="preserve">of </w:t>
      </w:r>
      <w:r>
        <w:rPr>
          <w:lang w:eastAsia="en-GB"/>
        </w:rPr>
        <w:t>approximately 34</w:t>
      </w:r>
      <w:r w:rsidR="008D291E" w:rsidRPr="00C9792C">
        <w:rPr>
          <w:lang w:eastAsia="en-GB"/>
        </w:rPr>
        <w:t>%, and a complete consumption of carboxylic acids (mainly consisting of acetic acid)</w:t>
      </w:r>
      <w:r>
        <w:rPr>
          <w:lang w:eastAsia="en-GB"/>
        </w:rPr>
        <w:t xml:space="preserve"> during respirometry tests</w:t>
      </w:r>
      <w:r w:rsidR="008D291E" w:rsidRPr="00C9792C">
        <w:rPr>
          <w:lang w:eastAsia="en-GB"/>
        </w:rPr>
        <w:t xml:space="preserve">. </w:t>
      </w:r>
      <w:r>
        <w:rPr>
          <w:lang w:eastAsia="en-GB"/>
        </w:rPr>
        <w:t xml:space="preserve">When the latter </w:t>
      </w:r>
      <w:r w:rsidR="007C3CC5">
        <w:rPr>
          <w:lang w:eastAsia="en-GB"/>
        </w:rPr>
        <w:t>was</w:t>
      </w:r>
      <w:r w:rsidR="008D291E" w:rsidRPr="00C9792C">
        <w:rPr>
          <w:lang w:eastAsia="en-GB"/>
        </w:rPr>
        <w:t xml:space="preserve"> performed with water extract from barley straw treated at 160 °C for 15 min</w:t>
      </w:r>
      <w:r>
        <w:rPr>
          <w:lang w:eastAsia="en-GB"/>
        </w:rPr>
        <w:t>,</w:t>
      </w:r>
      <w:r w:rsidR="008D291E">
        <w:rPr>
          <w:lang w:eastAsia="en-GB"/>
        </w:rPr>
        <w:t xml:space="preserve"> t</w:t>
      </w:r>
      <w:r w:rsidR="008D291E" w:rsidRPr="00C9792C">
        <w:rPr>
          <w:lang w:eastAsia="en-GB"/>
        </w:rPr>
        <w:t>he COD consumption accounted for 29% and the acid consumption (up to 71%) was not complete. These results clearly indicate that the operating conditions applied to the HT</w:t>
      </w:r>
      <w:r w:rsidR="005F4933">
        <w:rPr>
          <w:lang w:eastAsia="en-GB"/>
        </w:rPr>
        <w:t>C</w:t>
      </w:r>
      <w:r w:rsidR="008D291E" w:rsidRPr="00C9792C">
        <w:rPr>
          <w:lang w:eastAsia="en-GB"/>
        </w:rPr>
        <w:t xml:space="preserve"> process strongly affect the biodegradability of water extracts. Also, it is worth mentioning that in all performed tests PHA w</w:t>
      </w:r>
      <w:r w:rsidR="007C3CC5">
        <w:rPr>
          <w:lang w:eastAsia="en-GB"/>
        </w:rPr>
        <w:t>ere</w:t>
      </w:r>
      <w:r w:rsidR="008D291E" w:rsidRPr="00C9792C">
        <w:rPr>
          <w:lang w:eastAsia="en-GB"/>
        </w:rPr>
        <w:t xml:space="preserve"> not produced. Finally, no short-term inhibitory effects of the process water on the microbial activity w</w:t>
      </w:r>
      <w:r>
        <w:rPr>
          <w:lang w:eastAsia="en-GB"/>
        </w:rPr>
        <w:t>ere</w:t>
      </w:r>
      <w:r w:rsidR="008D291E" w:rsidRPr="00C9792C">
        <w:rPr>
          <w:lang w:eastAsia="en-GB"/>
        </w:rPr>
        <w:t xml:space="preserve"> detected, as indicated by the profile </w:t>
      </w:r>
      <w:r>
        <w:rPr>
          <w:lang w:eastAsia="en-GB"/>
        </w:rPr>
        <w:t xml:space="preserve">of dissolved oxygen (DO) </w:t>
      </w:r>
      <w:r w:rsidRPr="006C0679">
        <w:rPr>
          <w:lang w:eastAsia="en-GB"/>
        </w:rPr>
        <w:t xml:space="preserve">concentration </w:t>
      </w:r>
      <w:r w:rsidR="007C3CC5">
        <w:rPr>
          <w:lang w:eastAsia="en-GB"/>
        </w:rPr>
        <w:t>during</w:t>
      </w:r>
      <w:r w:rsidRPr="006C0679">
        <w:rPr>
          <w:lang w:eastAsia="en-GB"/>
        </w:rPr>
        <w:t xml:space="preserve"> the respirometry tests performed with barley straw treated at 190 °C </w:t>
      </w:r>
      <w:r>
        <w:rPr>
          <w:lang w:eastAsia="en-GB"/>
        </w:rPr>
        <w:t>(</w:t>
      </w:r>
      <w:r w:rsidR="008D291E" w:rsidRPr="00C9792C">
        <w:rPr>
          <w:lang w:eastAsia="en-GB"/>
        </w:rPr>
        <w:t xml:space="preserve">Figure </w:t>
      </w:r>
      <w:r w:rsidR="008D291E">
        <w:rPr>
          <w:lang w:eastAsia="en-GB"/>
        </w:rPr>
        <w:t>3</w:t>
      </w:r>
      <w:r w:rsidR="008D291E" w:rsidRPr="00C9792C">
        <w:rPr>
          <w:lang w:eastAsia="en-GB"/>
        </w:rPr>
        <w:t>).</w:t>
      </w:r>
      <w:r>
        <w:rPr>
          <w:lang w:eastAsia="en-GB"/>
        </w:rPr>
        <w:t xml:space="preserve"> Indeed, the sudden decrease of the DO concentration in </w:t>
      </w:r>
      <w:r w:rsidR="007C3CC5">
        <w:rPr>
          <w:lang w:eastAsia="en-GB"/>
        </w:rPr>
        <w:t>response</w:t>
      </w:r>
      <w:r>
        <w:rPr>
          <w:lang w:eastAsia="en-GB"/>
        </w:rPr>
        <w:t xml:space="preserve"> to the acetic acid supply, either before (at around 2 h from the beginning of the test) or after the addition of barley straw HTC water extract (i.e., after ca. 17 h from the beginning of the test), clearly indicates the occurrence of the microbial activity due to the consumption of the external carbon source which, once completely depleted, caused a rapid increase of the DO concentration. This suggests the presence of recalcitrant</w:t>
      </w:r>
      <w:r w:rsidR="007C3CC5">
        <w:rPr>
          <w:lang w:eastAsia="en-GB"/>
        </w:rPr>
        <w:t xml:space="preserve"> </w:t>
      </w:r>
      <w:r w:rsidR="007C3CC5">
        <w:rPr>
          <w:lang w:eastAsia="en-GB"/>
        </w:rPr>
        <w:t>compounds</w:t>
      </w:r>
      <w:r>
        <w:rPr>
          <w:lang w:eastAsia="en-GB"/>
        </w:rPr>
        <w:t xml:space="preserve"> but not inhibitory for the microbial activity in the used HTC water extract. Also, the low fraction of readily biodegradable COD (about 17 %) was quickly consumed, as shown by the rapid decrease of DO concentration </w:t>
      </w:r>
      <w:r w:rsidRPr="00FF7468">
        <w:rPr>
          <w:lang w:eastAsia="en-GB"/>
        </w:rPr>
        <w:t>from</w:t>
      </w:r>
      <w:r>
        <w:rPr>
          <w:lang w:eastAsia="en-GB"/>
        </w:rPr>
        <w:t xml:space="preserve"> </w:t>
      </w:r>
      <w:r w:rsidRPr="00F64957">
        <w:rPr>
          <w:lang w:eastAsia="en-GB"/>
        </w:rPr>
        <w:t>7.85</w:t>
      </w:r>
      <w:r w:rsidRPr="00FF7468">
        <w:rPr>
          <w:lang w:eastAsia="en-GB"/>
        </w:rPr>
        <w:t xml:space="preserve"> mg L</w:t>
      </w:r>
      <w:r w:rsidRPr="00F64957">
        <w:rPr>
          <w:vertAlign w:val="superscript"/>
          <w:lang w:eastAsia="en-GB"/>
        </w:rPr>
        <w:t>-1</w:t>
      </w:r>
      <w:r w:rsidRPr="00FF7468">
        <w:rPr>
          <w:lang w:eastAsia="en-GB"/>
        </w:rPr>
        <w:t xml:space="preserve"> to </w:t>
      </w:r>
      <w:r w:rsidRPr="00F64957">
        <w:rPr>
          <w:lang w:eastAsia="en-GB"/>
        </w:rPr>
        <w:t>4.84</w:t>
      </w:r>
      <w:r w:rsidRPr="00FF7468">
        <w:rPr>
          <w:lang w:eastAsia="en-GB"/>
        </w:rPr>
        <w:t xml:space="preserve"> mg L</w:t>
      </w:r>
      <w:r w:rsidRPr="00FF7468">
        <w:rPr>
          <w:vertAlign w:val="superscript"/>
          <w:lang w:eastAsia="en-GB"/>
        </w:rPr>
        <w:t>-1</w:t>
      </w:r>
      <w:r w:rsidRPr="00FF7468">
        <w:rPr>
          <w:lang w:eastAsia="en-GB"/>
        </w:rPr>
        <w:t>, following</w:t>
      </w:r>
      <w:r>
        <w:rPr>
          <w:lang w:eastAsia="en-GB"/>
        </w:rPr>
        <w:t xml:space="preserve"> its supply (at approximately 3.7 h) which </w:t>
      </w:r>
      <w:r w:rsidR="007C3CC5">
        <w:rPr>
          <w:lang w:eastAsia="en-GB"/>
        </w:rPr>
        <w:t>quickly</w:t>
      </w:r>
      <w:r>
        <w:rPr>
          <w:lang w:eastAsia="en-GB"/>
        </w:rPr>
        <w:t xml:space="preserve"> resumed to previous values. However, the DO concentration continued to gradually increase</w:t>
      </w:r>
      <w:r w:rsidRPr="00F737BE">
        <w:rPr>
          <w:lang w:eastAsia="en-GB"/>
        </w:rPr>
        <w:t xml:space="preserve">, up to </w:t>
      </w:r>
      <w:r w:rsidRPr="00F64957">
        <w:rPr>
          <w:lang w:eastAsia="en-GB"/>
        </w:rPr>
        <w:t>ca. 8.60</w:t>
      </w:r>
      <w:r w:rsidRPr="00F737BE">
        <w:rPr>
          <w:lang w:eastAsia="en-GB"/>
        </w:rPr>
        <w:t xml:space="preserve"> </w:t>
      </w:r>
      <w:r w:rsidR="007C3CC5" w:rsidRPr="00FF7468">
        <w:rPr>
          <w:lang w:eastAsia="en-GB"/>
        </w:rPr>
        <w:t>mg L</w:t>
      </w:r>
      <w:r w:rsidR="007C3CC5" w:rsidRPr="00F64957">
        <w:rPr>
          <w:vertAlign w:val="superscript"/>
          <w:lang w:eastAsia="en-GB"/>
        </w:rPr>
        <w:t>-1</w:t>
      </w:r>
      <w:r w:rsidR="007C3CC5" w:rsidRPr="00FF7468">
        <w:rPr>
          <w:lang w:eastAsia="en-GB"/>
        </w:rPr>
        <w:t xml:space="preserve"> </w:t>
      </w:r>
      <w:r w:rsidRPr="00F64957">
        <w:rPr>
          <w:lang w:eastAsia="en-GB"/>
        </w:rPr>
        <w:t>a</w:t>
      </w:r>
      <w:r w:rsidRPr="00F737BE">
        <w:rPr>
          <w:lang w:eastAsia="en-GB"/>
        </w:rPr>
        <w:t xml:space="preserve">t </w:t>
      </w:r>
      <w:r w:rsidRPr="00F64957">
        <w:rPr>
          <w:lang w:eastAsia="en-GB"/>
        </w:rPr>
        <w:t>around 18</w:t>
      </w:r>
      <w:r w:rsidRPr="00F737BE">
        <w:rPr>
          <w:lang w:eastAsia="en-GB"/>
        </w:rPr>
        <w:t xml:space="preserve"> h</w:t>
      </w:r>
      <w:r>
        <w:rPr>
          <w:lang w:eastAsia="en-GB"/>
        </w:rPr>
        <w:t xml:space="preserve"> from the beginning of the test, likely due to the consumption of part of the slowly biodegradable fraction of the supplied COD. Overall, these data point </w:t>
      </w:r>
      <w:r w:rsidR="007C3CC5">
        <w:rPr>
          <w:lang w:eastAsia="en-GB"/>
        </w:rPr>
        <w:t>to</w:t>
      </w:r>
      <w:r>
        <w:rPr>
          <w:lang w:eastAsia="en-GB"/>
        </w:rPr>
        <w:t xml:space="preserve"> the possibility to exploit the HTC water extract of barley straw to get valuable products through microbial fermentation upon tuning its composition by changing the HTC operating conditions.</w:t>
      </w:r>
    </w:p>
    <w:p w14:paraId="68D26B83" w14:textId="1F079C3C" w:rsidR="00600535" w:rsidRDefault="00600535" w:rsidP="00600535">
      <w:pPr>
        <w:pStyle w:val="CETHeading1"/>
        <w:rPr>
          <w:lang w:val="en-GB"/>
        </w:rPr>
      </w:pPr>
      <w:r w:rsidRPr="00B57B36">
        <w:rPr>
          <w:lang w:val="en-GB"/>
        </w:rPr>
        <w:t>Conclusions</w:t>
      </w:r>
    </w:p>
    <w:p w14:paraId="4BDDA1AA" w14:textId="28366906" w:rsidR="00384C4D" w:rsidRDefault="008D291E" w:rsidP="006208E3">
      <w:pPr>
        <w:pStyle w:val="CETBodytext"/>
        <w:rPr>
          <w:lang w:val="en-GB"/>
        </w:rPr>
      </w:pPr>
      <w:r>
        <w:rPr>
          <w:lang w:val="en-GB"/>
        </w:rPr>
        <w:t xml:space="preserve">The chemical composition of the process water obtained from HTC is strongly affected by the kind of treated biomass, and by operating conditions as temperature and reaction time. </w:t>
      </w:r>
      <w:r w:rsidR="005F4933">
        <w:rPr>
          <w:lang w:val="en-GB"/>
        </w:rPr>
        <w:t>Lower temperature and shorter reaction times allow the release of higher concentration</w:t>
      </w:r>
      <w:r w:rsidR="00D92A7B">
        <w:rPr>
          <w:lang w:val="en-GB"/>
        </w:rPr>
        <w:t>s</w:t>
      </w:r>
      <w:r w:rsidR="005F4933">
        <w:rPr>
          <w:lang w:val="en-GB"/>
        </w:rPr>
        <w:t xml:space="preserve"> of soluble organic molecules. </w:t>
      </w:r>
      <w:r>
        <w:rPr>
          <w:lang w:val="en-GB"/>
        </w:rPr>
        <w:t>Orange peels released higher concentration</w:t>
      </w:r>
      <w:r w:rsidR="00D92A7B">
        <w:rPr>
          <w:lang w:val="en-GB"/>
        </w:rPr>
        <w:t>s</w:t>
      </w:r>
      <w:r>
        <w:rPr>
          <w:lang w:val="en-GB"/>
        </w:rPr>
        <w:t xml:space="preserve"> of organic molecules in the process water, but this water result</w:t>
      </w:r>
      <w:r w:rsidR="005F4933">
        <w:rPr>
          <w:lang w:val="en-GB"/>
        </w:rPr>
        <w:t>ed</w:t>
      </w:r>
      <w:r>
        <w:rPr>
          <w:lang w:val="en-GB"/>
        </w:rPr>
        <w:t xml:space="preserve"> scarcely biodegradable by mixed microbial cultures. </w:t>
      </w:r>
      <w:r w:rsidR="005F4933">
        <w:rPr>
          <w:lang w:val="en-GB"/>
        </w:rPr>
        <w:t>Process water from the HTC of barley straw carried out at 190 °C and 15 min was the most biodegradable stream</w:t>
      </w:r>
      <w:r w:rsidR="006C0679">
        <w:rPr>
          <w:lang w:val="en-GB"/>
        </w:rPr>
        <w:t xml:space="preserve"> among those investigated</w:t>
      </w:r>
      <w:r w:rsidR="005F4933">
        <w:rPr>
          <w:lang w:val="en-GB"/>
        </w:rPr>
        <w:t xml:space="preserve">, </w:t>
      </w:r>
      <w:r w:rsidR="006C0679">
        <w:rPr>
          <w:lang w:val="en-GB"/>
        </w:rPr>
        <w:t>and</w:t>
      </w:r>
      <w:r w:rsidR="005F4933">
        <w:rPr>
          <w:lang w:val="en-GB"/>
        </w:rPr>
        <w:t xml:space="preserve"> suitable for microbial fermentation due to the high </w:t>
      </w:r>
      <w:r w:rsidR="007C01FE">
        <w:rPr>
          <w:lang w:val="en-GB"/>
        </w:rPr>
        <w:lastRenderedPageBreak/>
        <w:t>content</w:t>
      </w:r>
      <w:r w:rsidR="005F4933">
        <w:rPr>
          <w:lang w:val="en-GB"/>
        </w:rPr>
        <w:t xml:space="preserve"> of acetic acid and no short</w:t>
      </w:r>
      <w:r w:rsidR="00657ED3">
        <w:rPr>
          <w:lang w:val="en-GB"/>
        </w:rPr>
        <w:t>-</w:t>
      </w:r>
      <w:r w:rsidR="005F4933">
        <w:rPr>
          <w:lang w:val="en-GB"/>
        </w:rPr>
        <w:t>term inhibit</w:t>
      </w:r>
      <w:r w:rsidR="007C01FE">
        <w:rPr>
          <w:lang w:val="en-GB"/>
        </w:rPr>
        <w:t>ory effects on microbial activity</w:t>
      </w:r>
      <w:r w:rsidR="005F4933">
        <w:rPr>
          <w:lang w:val="en-GB"/>
        </w:rPr>
        <w:t xml:space="preserve">. Further work is required to optimize the application of this stream for the production of specific added-value products. </w:t>
      </w:r>
    </w:p>
    <w:p w14:paraId="77005DBC" w14:textId="0BCB829E" w:rsidR="00384C4D" w:rsidRPr="006208E3" w:rsidRDefault="00384C4D" w:rsidP="00685CF0">
      <w:pPr>
        <w:pStyle w:val="CETAcknowledgementstitle"/>
      </w:pPr>
      <w:r>
        <w:t>A</w:t>
      </w:r>
      <w:r w:rsidRPr="00384C4D">
        <w:t>cknowledgement</w:t>
      </w:r>
    </w:p>
    <w:p w14:paraId="3CB373BF" w14:textId="3BEB88B3" w:rsidR="00E44FBF" w:rsidRDefault="00E44FBF" w:rsidP="00E44FBF">
      <w:pPr>
        <w:pStyle w:val="CETBodytext"/>
      </w:pPr>
      <w:r w:rsidRPr="00AA371B">
        <w:t xml:space="preserve">This study was carried out within the </w:t>
      </w:r>
      <w:proofErr w:type="spellStart"/>
      <w:r w:rsidRPr="00AA371B">
        <w:t>Agritech</w:t>
      </w:r>
      <w:proofErr w:type="spellEnd"/>
      <w:r w:rsidRPr="00AA371B">
        <w:t xml:space="preserve"> National Research Center and received funding from the European Union Next-</w:t>
      </w:r>
      <w:proofErr w:type="spellStart"/>
      <w:r w:rsidRPr="00AA371B">
        <w:t>GenerationEU</w:t>
      </w:r>
      <w:proofErr w:type="spellEnd"/>
      <w:r w:rsidRPr="00AA371B">
        <w:t xml:space="preserve"> (PIANO NAZIONALE DI RIPRESA E RESILIENZA (PNRR) – MISSIONE 4 COMPONENTE 2, INVESTIMENTO 1.4 – D.D. 1032 17/06/2022, CN00000022). This manuscript reflects only the authors’ views and opinions, neither the European Union nor the European Commission can be considered responsible for them.</w:t>
      </w:r>
    </w:p>
    <w:p w14:paraId="6323560B" w14:textId="42932837" w:rsidR="009E2DB5" w:rsidRPr="00A51D5C" w:rsidRDefault="009E2DB5" w:rsidP="00685CF0">
      <w:pPr>
        <w:pStyle w:val="CETReference"/>
        <w:rPr>
          <w:lang w:val="en-US"/>
        </w:rPr>
      </w:pPr>
      <w:r w:rsidRPr="00A51D5C">
        <w:rPr>
          <w:lang w:val="en-US"/>
        </w:rPr>
        <w:t>References</w:t>
      </w:r>
    </w:p>
    <w:p w14:paraId="6B8053FF" w14:textId="48842E22" w:rsidR="00F911EE" w:rsidRPr="00F911EE" w:rsidRDefault="00F911EE" w:rsidP="00F911EE">
      <w:pPr>
        <w:pStyle w:val="CETReferencetext"/>
        <w:rPr>
          <w:lang w:val="en-US"/>
        </w:rPr>
      </w:pPr>
      <w:proofErr w:type="spellStart"/>
      <w:r w:rsidRPr="00F911EE">
        <w:rPr>
          <w:lang w:val="en-US"/>
        </w:rPr>
        <w:t>Acharjee</w:t>
      </w:r>
      <w:proofErr w:type="spellEnd"/>
      <w:r w:rsidRPr="00F911EE">
        <w:rPr>
          <w:lang w:val="en-US"/>
        </w:rPr>
        <w:t xml:space="preserve">, S. A., Bharali, P., Gogoi, B., </w:t>
      </w:r>
      <w:proofErr w:type="spellStart"/>
      <w:r w:rsidRPr="00F911EE">
        <w:rPr>
          <w:lang w:val="en-US"/>
        </w:rPr>
        <w:t>Sorhie</w:t>
      </w:r>
      <w:proofErr w:type="spellEnd"/>
      <w:r w:rsidRPr="00F911EE">
        <w:rPr>
          <w:lang w:val="en-US"/>
        </w:rPr>
        <w:t xml:space="preserve">, V., Walling, B., </w:t>
      </w:r>
      <w:proofErr w:type="spellStart"/>
      <w:r w:rsidRPr="00F911EE">
        <w:rPr>
          <w:lang w:val="en-US"/>
        </w:rPr>
        <w:t>Alemtoshi</w:t>
      </w:r>
      <w:proofErr w:type="spellEnd"/>
      <w:r w:rsidR="003433FA">
        <w:rPr>
          <w:lang w:val="en-US"/>
        </w:rPr>
        <w:t xml:space="preserve">, </w:t>
      </w:r>
      <w:r w:rsidRPr="00F911EE">
        <w:rPr>
          <w:lang w:val="en-US"/>
        </w:rPr>
        <w:t>2022</w:t>
      </w:r>
      <w:r w:rsidR="003433FA">
        <w:rPr>
          <w:lang w:val="en-US"/>
        </w:rPr>
        <w:t>,</w:t>
      </w:r>
      <w:r w:rsidRPr="00F911EE">
        <w:rPr>
          <w:lang w:val="en-US"/>
        </w:rPr>
        <w:t xml:space="preserve"> PHA-Based Bioplastic: a Potential Alternative to Address Microplastic Pollution</w:t>
      </w:r>
      <w:r w:rsidR="003433FA">
        <w:rPr>
          <w:lang w:val="en-US"/>
        </w:rPr>
        <w:t>,</w:t>
      </w:r>
      <w:r w:rsidRPr="00F911EE">
        <w:rPr>
          <w:lang w:val="en-US"/>
        </w:rPr>
        <w:t xml:space="preserve"> Water, Air, &amp; Soil Pollution</w:t>
      </w:r>
      <w:r w:rsidR="003433FA">
        <w:rPr>
          <w:lang w:val="en-US"/>
        </w:rPr>
        <w:t xml:space="preserve">, </w:t>
      </w:r>
      <w:r w:rsidRPr="00F911EE">
        <w:rPr>
          <w:lang w:val="en-US"/>
        </w:rPr>
        <w:t xml:space="preserve">234, 1–31. </w:t>
      </w:r>
    </w:p>
    <w:p w14:paraId="35233C32" w14:textId="12BC6D44" w:rsidR="00F911EE" w:rsidRPr="00F911EE" w:rsidRDefault="00F911EE" w:rsidP="00F911EE">
      <w:pPr>
        <w:pStyle w:val="CETReferencetext"/>
        <w:rPr>
          <w:lang w:val="en-US"/>
        </w:rPr>
      </w:pPr>
      <w:proofErr w:type="spellStart"/>
      <w:r w:rsidRPr="003433FA">
        <w:rPr>
          <w:lang w:val="en-US"/>
        </w:rPr>
        <w:t>Braunegg</w:t>
      </w:r>
      <w:proofErr w:type="spellEnd"/>
      <w:r w:rsidRPr="003433FA">
        <w:rPr>
          <w:lang w:val="en-US"/>
        </w:rPr>
        <w:t>, G., Sonnleitner, B.,  Lafferty, R. M.</w:t>
      </w:r>
      <w:r w:rsidR="003433FA" w:rsidRPr="003433FA">
        <w:rPr>
          <w:lang w:val="en-US"/>
        </w:rPr>
        <w:t xml:space="preserve">, </w:t>
      </w:r>
      <w:r w:rsidRPr="003433FA">
        <w:rPr>
          <w:lang w:val="en-US"/>
        </w:rPr>
        <w:t>1978</w:t>
      </w:r>
      <w:r w:rsidR="003433FA">
        <w:rPr>
          <w:lang w:val="en-US"/>
        </w:rPr>
        <w:t>,</w:t>
      </w:r>
      <w:r w:rsidRPr="003433FA">
        <w:rPr>
          <w:lang w:val="en-US"/>
        </w:rPr>
        <w:t xml:space="preserve"> </w:t>
      </w:r>
      <w:r w:rsidRPr="00F911EE">
        <w:rPr>
          <w:lang w:val="en-US"/>
        </w:rPr>
        <w:t>A rapid gas chromatographic method for the determination of poly-</w:t>
      </w:r>
      <w:r w:rsidRPr="00F911EE">
        <w:rPr>
          <w:lang w:val="it-IT"/>
        </w:rPr>
        <w:t>β</w:t>
      </w:r>
      <w:r w:rsidRPr="00F911EE">
        <w:rPr>
          <w:lang w:val="en-US"/>
        </w:rPr>
        <w:t>-hydroxybutyric acid in microbial biomass</w:t>
      </w:r>
      <w:r w:rsidR="003433FA">
        <w:rPr>
          <w:lang w:val="en-US"/>
        </w:rPr>
        <w:t>,</w:t>
      </w:r>
      <w:r w:rsidRPr="00F911EE">
        <w:rPr>
          <w:lang w:val="en-US"/>
        </w:rPr>
        <w:t xml:space="preserve"> European Journal of Applied Microbiology and Biotechnology, 6</w:t>
      </w:r>
      <w:r w:rsidR="003433FA">
        <w:rPr>
          <w:lang w:val="en-US"/>
        </w:rPr>
        <w:t xml:space="preserve">, </w:t>
      </w:r>
      <w:r w:rsidRPr="00F911EE">
        <w:rPr>
          <w:lang w:val="en-US"/>
        </w:rPr>
        <w:t xml:space="preserve">29–37. </w:t>
      </w:r>
    </w:p>
    <w:p w14:paraId="23C92CFF" w14:textId="6D4942E8" w:rsidR="00F911EE" w:rsidRPr="00F911EE" w:rsidRDefault="00F911EE" w:rsidP="00F911EE">
      <w:pPr>
        <w:pStyle w:val="CETReferencetext"/>
        <w:rPr>
          <w:lang w:val="en-US"/>
        </w:rPr>
      </w:pPr>
      <w:r w:rsidRPr="003433FA">
        <w:rPr>
          <w:lang w:val="en-US"/>
        </w:rPr>
        <w:t>Di Caprio, F., Pellini, A., Zanoni, R., Astolfi, M. L., Altimari, P., Pagnanelli, F.</w:t>
      </w:r>
      <w:r w:rsidR="003433FA" w:rsidRPr="003433FA">
        <w:rPr>
          <w:lang w:val="en-US"/>
        </w:rPr>
        <w:t xml:space="preserve">, </w:t>
      </w:r>
      <w:r w:rsidRPr="003433FA">
        <w:rPr>
          <w:lang w:val="en-US"/>
        </w:rPr>
        <w:t>2022</w:t>
      </w:r>
      <w:r w:rsidR="003433FA">
        <w:rPr>
          <w:lang w:val="en-US"/>
        </w:rPr>
        <w:t>,</w:t>
      </w:r>
      <w:r w:rsidRPr="003433FA">
        <w:rPr>
          <w:lang w:val="en-US"/>
        </w:rPr>
        <w:t xml:space="preserve"> </w:t>
      </w:r>
      <w:r w:rsidRPr="00F911EE">
        <w:rPr>
          <w:lang w:val="en-US"/>
        </w:rPr>
        <w:t xml:space="preserve">Two-phase synthesis of Fe-loaded </w:t>
      </w:r>
      <w:proofErr w:type="spellStart"/>
      <w:r w:rsidRPr="00F911EE">
        <w:rPr>
          <w:lang w:val="en-US"/>
        </w:rPr>
        <w:t>hydrochar</w:t>
      </w:r>
      <w:proofErr w:type="spellEnd"/>
      <w:r w:rsidRPr="00F911EE">
        <w:rPr>
          <w:lang w:val="en-US"/>
        </w:rPr>
        <w:t xml:space="preserve"> for As removal: The distinct effects of initial pH, reaction time and Fe/</w:t>
      </w:r>
      <w:proofErr w:type="spellStart"/>
      <w:r w:rsidRPr="00F911EE">
        <w:rPr>
          <w:lang w:val="en-US"/>
        </w:rPr>
        <w:t>hydrochar</w:t>
      </w:r>
      <w:proofErr w:type="spellEnd"/>
      <w:r w:rsidRPr="00F911EE">
        <w:rPr>
          <w:lang w:val="en-US"/>
        </w:rPr>
        <w:t xml:space="preserve"> ratio</w:t>
      </w:r>
      <w:r w:rsidR="003433FA">
        <w:rPr>
          <w:lang w:val="en-US"/>
        </w:rPr>
        <w:t>,</w:t>
      </w:r>
      <w:r w:rsidRPr="00F911EE">
        <w:rPr>
          <w:lang w:val="en-US"/>
        </w:rPr>
        <w:t xml:space="preserve"> Journal of Environmental Management, 302, 114058. </w:t>
      </w:r>
    </w:p>
    <w:p w14:paraId="77CFFC83" w14:textId="0EE9A3D7" w:rsidR="00F911EE" w:rsidRPr="00F911EE" w:rsidRDefault="00F911EE" w:rsidP="00F911EE">
      <w:pPr>
        <w:pStyle w:val="CETReferencetext"/>
        <w:rPr>
          <w:lang w:val="en-US"/>
        </w:rPr>
      </w:pPr>
      <w:r w:rsidRPr="003433FA">
        <w:rPr>
          <w:lang w:val="en-US"/>
        </w:rPr>
        <w:t>Di Caprio, F., Pipitone, L. M., Altimari, P., Pagnanelli, F.</w:t>
      </w:r>
      <w:r w:rsidR="003433FA" w:rsidRPr="003433FA">
        <w:rPr>
          <w:lang w:val="en-US"/>
        </w:rPr>
        <w:t xml:space="preserve">, </w:t>
      </w:r>
      <w:r w:rsidRPr="003433FA">
        <w:rPr>
          <w:lang w:val="en-US"/>
        </w:rPr>
        <w:t>2021</w:t>
      </w:r>
      <w:r w:rsidR="003433FA">
        <w:rPr>
          <w:lang w:val="en-US"/>
        </w:rPr>
        <w:t>,</w:t>
      </w:r>
      <w:r w:rsidRPr="003433FA">
        <w:rPr>
          <w:lang w:val="en-US"/>
        </w:rPr>
        <w:t xml:space="preserve"> </w:t>
      </w:r>
      <w:r w:rsidRPr="00F911EE">
        <w:rPr>
          <w:lang w:val="en-US"/>
        </w:rPr>
        <w:t>Extracellular and intracellular phenol production by microalgae during photoautotrophic batch cultivation</w:t>
      </w:r>
      <w:r w:rsidR="003433FA">
        <w:rPr>
          <w:lang w:val="en-US"/>
        </w:rPr>
        <w:t>,</w:t>
      </w:r>
      <w:r w:rsidRPr="00F911EE">
        <w:rPr>
          <w:lang w:val="en-US"/>
        </w:rPr>
        <w:t xml:space="preserve"> New Biotechnology, 62, 1–9. </w:t>
      </w:r>
    </w:p>
    <w:p w14:paraId="0117318B" w14:textId="06D13F7C" w:rsidR="00F911EE" w:rsidRPr="003433FA" w:rsidRDefault="00F911EE" w:rsidP="00F911EE">
      <w:pPr>
        <w:pStyle w:val="CETReferencetext"/>
        <w:rPr>
          <w:lang w:val="en-US"/>
        </w:rPr>
      </w:pPr>
      <w:r w:rsidRPr="00F911EE">
        <w:rPr>
          <w:lang w:val="en-US"/>
        </w:rPr>
        <w:t>Hoekman, S. K., Broch, A., Robbins, C.</w:t>
      </w:r>
      <w:r w:rsidR="003433FA">
        <w:rPr>
          <w:lang w:val="en-US"/>
        </w:rPr>
        <w:t xml:space="preserve">, </w:t>
      </w:r>
      <w:r w:rsidRPr="00F911EE">
        <w:rPr>
          <w:lang w:val="en-US"/>
        </w:rPr>
        <w:t>2011</w:t>
      </w:r>
      <w:r w:rsidR="003433FA">
        <w:rPr>
          <w:lang w:val="en-US"/>
        </w:rPr>
        <w:t>,</w:t>
      </w:r>
      <w:r w:rsidRPr="00F911EE">
        <w:rPr>
          <w:lang w:val="en-US"/>
        </w:rPr>
        <w:t xml:space="preserve"> Hydrothermal Carbonization (HTC) of Lignocellulosic Biomass</w:t>
      </w:r>
      <w:r w:rsidR="003433FA">
        <w:rPr>
          <w:lang w:val="en-US"/>
        </w:rPr>
        <w:t>,</w:t>
      </w:r>
      <w:r w:rsidRPr="00F911EE">
        <w:rPr>
          <w:lang w:val="en-US"/>
        </w:rPr>
        <w:t xml:space="preserve"> </w:t>
      </w:r>
      <w:r w:rsidR="0000328B" w:rsidRPr="0000328B">
        <w:rPr>
          <w:lang w:val="en-US"/>
        </w:rPr>
        <w:t>Energy Fuels, 25, 1802–1810</w:t>
      </w:r>
      <w:r w:rsidR="0000328B">
        <w:rPr>
          <w:lang w:val="en-US"/>
        </w:rPr>
        <w:t>.</w:t>
      </w:r>
    </w:p>
    <w:p w14:paraId="71D45006" w14:textId="4F1A882A" w:rsidR="00F911EE" w:rsidRPr="00F911EE" w:rsidRDefault="00F911EE" w:rsidP="00F911EE">
      <w:pPr>
        <w:pStyle w:val="CETReferencetext"/>
        <w:rPr>
          <w:lang w:val="en-US"/>
        </w:rPr>
      </w:pPr>
      <w:r w:rsidRPr="003433FA">
        <w:rPr>
          <w:lang w:val="en-US"/>
        </w:rPr>
        <w:t>Islam, M. A., Limon, M. S. H., Romić, M., Islam, M. A.</w:t>
      </w:r>
      <w:r w:rsidR="003433FA" w:rsidRPr="003433FA">
        <w:rPr>
          <w:lang w:val="en-US"/>
        </w:rPr>
        <w:t xml:space="preserve">, </w:t>
      </w:r>
      <w:r w:rsidRPr="003433FA">
        <w:rPr>
          <w:lang w:val="en-US"/>
        </w:rPr>
        <w:t>2021</w:t>
      </w:r>
      <w:r w:rsidR="003433FA" w:rsidRPr="003433FA">
        <w:rPr>
          <w:lang w:val="en-US"/>
        </w:rPr>
        <w:t>,</w:t>
      </w:r>
      <w:r w:rsidRPr="003433FA">
        <w:rPr>
          <w:lang w:val="en-US"/>
        </w:rPr>
        <w:t xml:space="preserve"> </w:t>
      </w:r>
      <w:proofErr w:type="spellStart"/>
      <w:r w:rsidRPr="00F911EE">
        <w:rPr>
          <w:lang w:val="en-US"/>
        </w:rPr>
        <w:t>Hydrochar</w:t>
      </w:r>
      <w:proofErr w:type="spellEnd"/>
      <w:r w:rsidRPr="00F911EE">
        <w:rPr>
          <w:lang w:val="en-US"/>
        </w:rPr>
        <w:t>-based soil amendments for agriculture: a review of recent progress</w:t>
      </w:r>
      <w:r w:rsidR="003433FA">
        <w:rPr>
          <w:lang w:val="en-US"/>
        </w:rPr>
        <w:t>,</w:t>
      </w:r>
      <w:r w:rsidRPr="00F911EE">
        <w:rPr>
          <w:lang w:val="en-US"/>
        </w:rPr>
        <w:t xml:space="preserve"> Arabian Journal of Geosciences</w:t>
      </w:r>
      <w:r w:rsidR="003433FA">
        <w:rPr>
          <w:lang w:val="en-US"/>
        </w:rPr>
        <w:t xml:space="preserve">, </w:t>
      </w:r>
      <w:r w:rsidRPr="00F911EE">
        <w:rPr>
          <w:lang w:val="en-US"/>
        </w:rPr>
        <w:t xml:space="preserve">14, 1–16. </w:t>
      </w:r>
    </w:p>
    <w:p w14:paraId="790EEEAA" w14:textId="6DD24B2F" w:rsidR="00F911EE" w:rsidRPr="003433FA" w:rsidRDefault="00F911EE" w:rsidP="00F911EE">
      <w:pPr>
        <w:pStyle w:val="CETReferencetext"/>
        <w:rPr>
          <w:lang w:val="en-US"/>
        </w:rPr>
      </w:pPr>
      <w:r w:rsidRPr="00F911EE">
        <w:rPr>
          <w:lang w:val="en-US"/>
        </w:rPr>
        <w:t>Khan, N., Mohan, S., Dinesha, P.</w:t>
      </w:r>
      <w:r w:rsidR="003433FA">
        <w:rPr>
          <w:lang w:val="en-US"/>
        </w:rPr>
        <w:t xml:space="preserve">, </w:t>
      </w:r>
      <w:r w:rsidRPr="00F911EE">
        <w:rPr>
          <w:lang w:val="en-US"/>
        </w:rPr>
        <w:t>2021</w:t>
      </w:r>
      <w:r w:rsidR="003433FA">
        <w:rPr>
          <w:lang w:val="en-US"/>
        </w:rPr>
        <w:t>,</w:t>
      </w:r>
      <w:r w:rsidRPr="00F911EE">
        <w:rPr>
          <w:lang w:val="en-US"/>
        </w:rPr>
        <w:t xml:space="preserve"> Regimes of </w:t>
      </w:r>
      <w:proofErr w:type="spellStart"/>
      <w:r w:rsidRPr="00F911EE">
        <w:rPr>
          <w:lang w:val="en-US"/>
        </w:rPr>
        <w:t>hydrochar</w:t>
      </w:r>
      <w:proofErr w:type="spellEnd"/>
      <w:r w:rsidRPr="00F911EE">
        <w:rPr>
          <w:lang w:val="en-US"/>
        </w:rPr>
        <w:t xml:space="preserve"> yield from hydrothermal degradation of various lignocellulosic biomass: A review</w:t>
      </w:r>
      <w:r w:rsidR="003433FA">
        <w:rPr>
          <w:lang w:val="en-US"/>
        </w:rPr>
        <w:t>,</w:t>
      </w:r>
      <w:r w:rsidRPr="00F911EE">
        <w:rPr>
          <w:lang w:val="en-US"/>
        </w:rPr>
        <w:t xml:space="preserve"> </w:t>
      </w:r>
      <w:r w:rsidRPr="003433FA">
        <w:rPr>
          <w:lang w:val="en-US"/>
        </w:rPr>
        <w:t xml:space="preserve">Journal of Cleaner Production, 288, 125629. </w:t>
      </w:r>
    </w:p>
    <w:p w14:paraId="4CE6D822" w14:textId="6320FB28" w:rsidR="00F911EE" w:rsidRPr="00F911EE" w:rsidRDefault="00F911EE" w:rsidP="00F911EE">
      <w:pPr>
        <w:pStyle w:val="CETReferencetext"/>
        <w:rPr>
          <w:lang w:val="en-US"/>
        </w:rPr>
      </w:pPr>
      <w:r w:rsidRPr="006947C4">
        <w:rPr>
          <w:lang w:val="en-US"/>
        </w:rPr>
        <w:t>Proietti Tocca, G., Agostino, V., Menin, B., Tommasi, T., Fino, D., Di Caprio, F.</w:t>
      </w:r>
      <w:r w:rsidR="006947C4" w:rsidRPr="006947C4">
        <w:rPr>
          <w:lang w:val="en-US"/>
        </w:rPr>
        <w:t xml:space="preserve">, </w:t>
      </w:r>
      <w:r w:rsidRPr="006947C4">
        <w:rPr>
          <w:lang w:val="en-US"/>
        </w:rPr>
        <w:t>2024</w:t>
      </w:r>
      <w:r w:rsidR="006947C4">
        <w:rPr>
          <w:lang w:val="en-US"/>
        </w:rPr>
        <w:t>,</w:t>
      </w:r>
      <w:r w:rsidRPr="006947C4">
        <w:rPr>
          <w:lang w:val="en-US"/>
        </w:rPr>
        <w:t xml:space="preserve"> </w:t>
      </w:r>
      <w:r w:rsidRPr="00F911EE">
        <w:rPr>
          <w:lang w:val="en-US"/>
        </w:rPr>
        <w:t>Mixotrophic and heterotrophic growth of microalgae using acetate from different production processes</w:t>
      </w:r>
      <w:r w:rsidR="006947C4">
        <w:rPr>
          <w:lang w:val="en-US"/>
        </w:rPr>
        <w:t>,</w:t>
      </w:r>
      <w:r w:rsidRPr="00F911EE">
        <w:rPr>
          <w:lang w:val="en-US"/>
        </w:rPr>
        <w:t xml:space="preserve"> Reviews in Environmental Science and Bio/Technology, 23, 93–132. </w:t>
      </w:r>
    </w:p>
    <w:p w14:paraId="4EFE6B3D" w14:textId="702C15CE" w:rsidR="00F911EE" w:rsidRPr="00F5658A" w:rsidRDefault="00F911EE" w:rsidP="00F911EE">
      <w:pPr>
        <w:pStyle w:val="CETReferencetext"/>
        <w:rPr>
          <w:lang w:val="en-US"/>
        </w:rPr>
      </w:pPr>
      <w:r w:rsidRPr="006947C4">
        <w:rPr>
          <w:lang w:val="en-US"/>
        </w:rPr>
        <w:t xml:space="preserve">Stemann, J., </w:t>
      </w:r>
      <w:proofErr w:type="spellStart"/>
      <w:r w:rsidRPr="006947C4">
        <w:rPr>
          <w:lang w:val="en-US"/>
        </w:rPr>
        <w:t>Putschew</w:t>
      </w:r>
      <w:proofErr w:type="spellEnd"/>
      <w:r w:rsidRPr="006947C4">
        <w:rPr>
          <w:lang w:val="en-US"/>
        </w:rPr>
        <w:t>, A., Ziegler, F.</w:t>
      </w:r>
      <w:r w:rsidR="006947C4" w:rsidRPr="006947C4">
        <w:rPr>
          <w:lang w:val="en-US"/>
        </w:rPr>
        <w:t xml:space="preserve">, </w:t>
      </w:r>
      <w:r w:rsidRPr="006947C4">
        <w:rPr>
          <w:lang w:val="en-US"/>
        </w:rPr>
        <w:t>2013</w:t>
      </w:r>
      <w:r w:rsidR="006947C4">
        <w:rPr>
          <w:lang w:val="en-US"/>
        </w:rPr>
        <w:t>,</w:t>
      </w:r>
      <w:r w:rsidRPr="006947C4">
        <w:rPr>
          <w:lang w:val="en-US"/>
        </w:rPr>
        <w:t xml:space="preserve"> </w:t>
      </w:r>
      <w:r w:rsidRPr="00F911EE">
        <w:rPr>
          <w:lang w:val="en-US"/>
        </w:rPr>
        <w:t xml:space="preserve">Hydrothermal carbonization: Process water characterization and effects of water recirculation. </w:t>
      </w:r>
      <w:r w:rsidRPr="00F5658A">
        <w:rPr>
          <w:lang w:val="en-US"/>
        </w:rPr>
        <w:t xml:space="preserve">Bioresource Technology, 143, 139–146. </w:t>
      </w:r>
    </w:p>
    <w:p w14:paraId="1164E9AA" w14:textId="298C3A4E" w:rsidR="00F911EE" w:rsidRPr="00F5658A" w:rsidRDefault="00F911EE" w:rsidP="00F911EE">
      <w:pPr>
        <w:pStyle w:val="CETReferencetext"/>
        <w:rPr>
          <w:lang w:val="en-US"/>
        </w:rPr>
      </w:pPr>
      <w:proofErr w:type="spellStart"/>
      <w:r w:rsidRPr="00F5658A">
        <w:rPr>
          <w:lang w:val="en-US"/>
        </w:rPr>
        <w:t>Tayou</w:t>
      </w:r>
      <w:proofErr w:type="spellEnd"/>
      <w:r w:rsidRPr="00F5658A">
        <w:rPr>
          <w:lang w:val="en-US"/>
        </w:rPr>
        <w:t xml:space="preserve"> </w:t>
      </w:r>
      <w:proofErr w:type="spellStart"/>
      <w:r w:rsidRPr="00F5658A">
        <w:rPr>
          <w:lang w:val="en-US"/>
        </w:rPr>
        <w:t>Nguemna</w:t>
      </w:r>
      <w:proofErr w:type="spellEnd"/>
      <w:r w:rsidRPr="00F5658A">
        <w:rPr>
          <w:lang w:val="en-US"/>
        </w:rPr>
        <w:t xml:space="preserve">, L., Marzulli, F., </w:t>
      </w:r>
      <w:proofErr w:type="spellStart"/>
      <w:r w:rsidRPr="00F5658A">
        <w:rPr>
          <w:lang w:val="en-US"/>
        </w:rPr>
        <w:t>Scopetti</w:t>
      </w:r>
      <w:proofErr w:type="spellEnd"/>
      <w:r w:rsidRPr="00F5658A">
        <w:rPr>
          <w:lang w:val="en-US"/>
        </w:rPr>
        <w:t xml:space="preserve">, F., Lorini, L., Lauri, R., </w:t>
      </w:r>
      <w:proofErr w:type="spellStart"/>
      <w:r w:rsidRPr="00F5658A">
        <w:rPr>
          <w:lang w:val="en-US"/>
        </w:rPr>
        <w:t>Pietrangeli</w:t>
      </w:r>
      <w:proofErr w:type="spellEnd"/>
      <w:r w:rsidRPr="00F5658A">
        <w:rPr>
          <w:lang w:val="en-US"/>
        </w:rPr>
        <w:t>, B., Crognale, S., Rossetti, S., Majone, M., Villano, M.</w:t>
      </w:r>
      <w:r w:rsidR="006C5E1C" w:rsidRPr="00F5658A">
        <w:rPr>
          <w:lang w:val="en-US"/>
        </w:rPr>
        <w:t xml:space="preserve">, </w:t>
      </w:r>
      <w:r w:rsidRPr="00F5658A">
        <w:rPr>
          <w:lang w:val="en-US"/>
        </w:rPr>
        <w:t>2023</w:t>
      </w:r>
      <w:r w:rsidR="006C5E1C" w:rsidRPr="00F5658A">
        <w:rPr>
          <w:lang w:val="en-US"/>
        </w:rPr>
        <w:t>,</w:t>
      </w:r>
      <w:r w:rsidRPr="00F5658A">
        <w:rPr>
          <w:lang w:val="en-US"/>
        </w:rPr>
        <w:t xml:space="preserve"> Recirculation factor as a key parameter in continuous-flow biomass selection for polyhydroxyalkanoates production</w:t>
      </w:r>
      <w:r w:rsidR="006C5E1C" w:rsidRPr="00F5658A">
        <w:rPr>
          <w:lang w:val="en-US"/>
        </w:rPr>
        <w:t>,</w:t>
      </w:r>
      <w:r w:rsidRPr="00F5658A">
        <w:rPr>
          <w:lang w:val="en-US"/>
        </w:rPr>
        <w:t xml:space="preserve"> Chemical Engineering Journal, 455, 140208. </w:t>
      </w:r>
    </w:p>
    <w:p w14:paraId="6764E4D0" w14:textId="3F5BFC4C" w:rsidR="00F911EE" w:rsidRPr="00F911EE" w:rsidRDefault="00F911EE" w:rsidP="00F911EE">
      <w:pPr>
        <w:pStyle w:val="CETReferencetext"/>
        <w:rPr>
          <w:lang w:val="en-US"/>
        </w:rPr>
      </w:pPr>
      <w:r w:rsidRPr="006C5E1C">
        <w:rPr>
          <w:lang w:val="en-US"/>
        </w:rPr>
        <w:t>Wang, T., Zhai, Y., Zhu, Y., Li, C., Zeng, G.</w:t>
      </w:r>
      <w:r w:rsidR="006C5E1C" w:rsidRPr="006C5E1C">
        <w:rPr>
          <w:lang w:val="en-US"/>
        </w:rPr>
        <w:t xml:space="preserve">, </w:t>
      </w:r>
      <w:r w:rsidRPr="006C5E1C">
        <w:rPr>
          <w:lang w:val="en-US"/>
        </w:rPr>
        <w:t>2018</w:t>
      </w:r>
      <w:r w:rsidR="006C5E1C">
        <w:rPr>
          <w:lang w:val="en-US"/>
        </w:rPr>
        <w:t>,</w:t>
      </w:r>
      <w:r w:rsidRPr="006C5E1C">
        <w:rPr>
          <w:lang w:val="en-US"/>
        </w:rPr>
        <w:t xml:space="preserve"> </w:t>
      </w:r>
      <w:r w:rsidRPr="00F911EE">
        <w:rPr>
          <w:lang w:val="en-US"/>
        </w:rPr>
        <w:t xml:space="preserve">A review of the hydrothermal carbonization of biomass waste for </w:t>
      </w:r>
      <w:proofErr w:type="spellStart"/>
      <w:r w:rsidRPr="00F911EE">
        <w:rPr>
          <w:lang w:val="en-US"/>
        </w:rPr>
        <w:t>hydrochar</w:t>
      </w:r>
      <w:proofErr w:type="spellEnd"/>
      <w:r w:rsidRPr="00F911EE">
        <w:rPr>
          <w:lang w:val="en-US"/>
        </w:rPr>
        <w:t xml:space="preserve"> formation: Process conditions, fundamentals, and physicochemical properties</w:t>
      </w:r>
      <w:r w:rsidR="006C5E1C">
        <w:rPr>
          <w:lang w:val="en-US"/>
        </w:rPr>
        <w:t>,</w:t>
      </w:r>
      <w:r w:rsidRPr="00F911EE">
        <w:rPr>
          <w:lang w:val="en-US"/>
        </w:rPr>
        <w:t xml:space="preserve"> Renewable and Sustainable Energy Reviews, 90, 223–247. </w:t>
      </w:r>
    </w:p>
    <w:p w14:paraId="28E8379D" w14:textId="77777777" w:rsidR="00C52C3C" w:rsidRPr="00F911EE" w:rsidRDefault="00C52C3C" w:rsidP="00E65B91">
      <w:pPr>
        <w:pStyle w:val="CETReferencetext"/>
        <w:rPr>
          <w:lang w:val="en-US"/>
        </w:rPr>
      </w:pPr>
    </w:p>
    <w:p w14:paraId="6FAA4342" w14:textId="77777777" w:rsidR="00C52C3C" w:rsidRPr="00F911EE" w:rsidRDefault="00C52C3C" w:rsidP="00E65B91">
      <w:pPr>
        <w:pStyle w:val="CETReferencetext"/>
        <w:rPr>
          <w:lang w:val="en-US"/>
        </w:rPr>
      </w:pPr>
    </w:p>
    <w:p w14:paraId="5A13856B" w14:textId="77777777" w:rsidR="006B4888" w:rsidRPr="00F911EE" w:rsidRDefault="006B4888" w:rsidP="006B4888">
      <w:pPr>
        <w:pStyle w:val="CETReferencetext"/>
        <w:rPr>
          <w:lang w:val="en-US"/>
        </w:rPr>
      </w:pPr>
    </w:p>
    <w:p w14:paraId="19C4FC68" w14:textId="77777777" w:rsidR="004628D2" w:rsidRPr="00F911EE" w:rsidRDefault="004628D2" w:rsidP="00FA5F5F">
      <w:pPr>
        <w:pStyle w:val="CETHeading1"/>
        <w:numPr>
          <w:ilvl w:val="0"/>
          <w:numId w:val="0"/>
        </w:numPr>
      </w:pPr>
    </w:p>
    <w:sectPr w:rsidR="004628D2" w:rsidRPr="00F911EE"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77B62" w14:textId="77777777" w:rsidR="006B27C6" w:rsidRDefault="006B27C6" w:rsidP="004F5E36">
      <w:r>
        <w:separator/>
      </w:r>
    </w:p>
  </w:endnote>
  <w:endnote w:type="continuationSeparator" w:id="0">
    <w:p w14:paraId="36F3E1B8" w14:textId="77777777" w:rsidR="006B27C6" w:rsidRDefault="006B27C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8D0BD" w14:textId="77777777" w:rsidR="006B27C6" w:rsidRDefault="006B27C6" w:rsidP="004F5E36">
      <w:r>
        <w:separator/>
      </w:r>
    </w:p>
  </w:footnote>
  <w:footnote w:type="continuationSeparator" w:id="0">
    <w:p w14:paraId="135547E5" w14:textId="77777777" w:rsidR="006B27C6" w:rsidRDefault="006B27C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28B"/>
    <w:rsid w:val="000052FB"/>
    <w:rsid w:val="00005A19"/>
    <w:rsid w:val="000117CB"/>
    <w:rsid w:val="00024CD6"/>
    <w:rsid w:val="0003148D"/>
    <w:rsid w:val="00031EEC"/>
    <w:rsid w:val="00051566"/>
    <w:rsid w:val="00051FAC"/>
    <w:rsid w:val="000528F5"/>
    <w:rsid w:val="000562A9"/>
    <w:rsid w:val="00062A9A"/>
    <w:rsid w:val="00065058"/>
    <w:rsid w:val="00076902"/>
    <w:rsid w:val="00086C39"/>
    <w:rsid w:val="000A03B2"/>
    <w:rsid w:val="000A4DCB"/>
    <w:rsid w:val="000B0D4A"/>
    <w:rsid w:val="000D0268"/>
    <w:rsid w:val="000D34BE"/>
    <w:rsid w:val="000E099F"/>
    <w:rsid w:val="000E0B3C"/>
    <w:rsid w:val="000E102F"/>
    <w:rsid w:val="000E36F1"/>
    <w:rsid w:val="000E3A73"/>
    <w:rsid w:val="000E414A"/>
    <w:rsid w:val="000E75FD"/>
    <w:rsid w:val="000F093C"/>
    <w:rsid w:val="000F787B"/>
    <w:rsid w:val="00116F01"/>
    <w:rsid w:val="0012091F"/>
    <w:rsid w:val="00126BC2"/>
    <w:rsid w:val="001308B6"/>
    <w:rsid w:val="0013121F"/>
    <w:rsid w:val="00131FE6"/>
    <w:rsid w:val="0013263F"/>
    <w:rsid w:val="001331DF"/>
    <w:rsid w:val="00134DE4"/>
    <w:rsid w:val="0014034D"/>
    <w:rsid w:val="00140FE3"/>
    <w:rsid w:val="00144D16"/>
    <w:rsid w:val="001509E2"/>
    <w:rsid w:val="00150E59"/>
    <w:rsid w:val="00152DE3"/>
    <w:rsid w:val="00153CCF"/>
    <w:rsid w:val="00164CF9"/>
    <w:rsid w:val="00165487"/>
    <w:rsid w:val="0016668E"/>
    <w:rsid w:val="001667A6"/>
    <w:rsid w:val="0018171E"/>
    <w:rsid w:val="00184AD6"/>
    <w:rsid w:val="001A4AF7"/>
    <w:rsid w:val="001B0349"/>
    <w:rsid w:val="001B1E93"/>
    <w:rsid w:val="001B4F08"/>
    <w:rsid w:val="001B552F"/>
    <w:rsid w:val="001B65C1"/>
    <w:rsid w:val="001B7D2B"/>
    <w:rsid w:val="001C260F"/>
    <w:rsid w:val="001C3C5A"/>
    <w:rsid w:val="001C5C3A"/>
    <w:rsid w:val="001C684B"/>
    <w:rsid w:val="001D0CFB"/>
    <w:rsid w:val="001D21AF"/>
    <w:rsid w:val="001D3D32"/>
    <w:rsid w:val="001D53FC"/>
    <w:rsid w:val="001E05E2"/>
    <w:rsid w:val="001E54AD"/>
    <w:rsid w:val="001F42A5"/>
    <w:rsid w:val="001F7B9D"/>
    <w:rsid w:val="00201C93"/>
    <w:rsid w:val="002036A8"/>
    <w:rsid w:val="002224B4"/>
    <w:rsid w:val="002447EF"/>
    <w:rsid w:val="00251550"/>
    <w:rsid w:val="00263B05"/>
    <w:rsid w:val="002663B8"/>
    <w:rsid w:val="0027221A"/>
    <w:rsid w:val="00275B61"/>
    <w:rsid w:val="00280FAF"/>
    <w:rsid w:val="00282656"/>
    <w:rsid w:val="0029012C"/>
    <w:rsid w:val="00296B83"/>
    <w:rsid w:val="002A2A34"/>
    <w:rsid w:val="002B4015"/>
    <w:rsid w:val="002B78CE"/>
    <w:rsid w:val="002C2FB6"/>
    <w:rsid w:val="002E5FA7"/>
    <w:rsid w:val="002F3309"/>
    <w:rsid w:val="003008CE"/>
    <w:rsid w:val="003009B7"/>
    <w:rsid w:val="00300E56"/>
    <w:rsid w:val="0030152C"/>
    <w:rsid w:val="00302E1A"/>
    <w:rsid w:val="0030469C"/>
    <w:rsid w:val="00304CE8"/>
    <w:rsid w:val="00321CA6"/>
    <w:rsid w:val="00323763"/>
    <w:rsid w:val="00323C5F"/>
    <w:rsid w:val="00334C09"/>
    <w:rsid w:val="003433FA"/>
    <w:rsid w:val="00347EDF"/>
    <w:rsid w:val="00355367"/>
    <w:rsid w:val="00371ACA"/>
    <w:rsid w:val="003723D4"/>
    <w:rsid w:val="00381905"/>
    <w:rsid w:val="00384C4D"/>
    <w:rsid w:val="00384CC8"/>
    <w:rsid w:val="003871FD"/>
    <w:rsid w:val="00391C34"/>
    <w:rsid w:val="003A1E30"/>
    <w:rsid w:val="003A2829"/>
    <w:rsid w:val="003A7D1C"/>
    <w:rsid w:val="003B304B"/>
    <w:rsid w:val="003B3146"/>
    <w:rsid w:val="003B49CD"/>
    <w:rsid w:val="003B6963"/>
    <w:rsid w:val="003C3EAC"/>
    <w:rsid w:val="003C63D3"/>
    <w:rsid w:val="003D1E02"/>
    <w:rsid w:val="003E2AD9"/>
    <w:rsid w:val="003F015E"/>
    <w:rsid w:val="00400414"/>
    <w:rsid w:val="00405472"/>
    <w:rsid w:val="004057DC"/>
    <w:rsid w:val="0041277E"/>
    <w:rsid w:val="0041446B"/>
    <w:rsid w:val="0042188B"/>
    <w:rsid w:val="0044071E"/>
    <w:rsid w:val="00442D0E"/>
    <w:rsid w:val="0044329C"/>
    <w:rsid w:val="004462B4"/>
    <w:rsid w:val="00453E24"/>
    <w:rsid w:val="00457456"/>
    <w:rsid w:val="004577FE"/>
    <w:rsid w:val="00457B9C"/>
    <w:rsid w:val="0046164A"/>
    <w:rsid w:val="004628D2"/>
    <w:rsid w:val="00462DCD"/>
    <w:rsid w:val="004648AD"/>
    <w:rsid w:val="0046531D"/>
    <w:rsid w:val="004703A9"/>
    <w:rsid w:val="004760DE"/>
    <w:rsid w:val="004763D7"/>
    <w:rsid w:val="00477466"/>
    <w:rsid w:val="00480AAF"/>
    <w:rsid w:val="004A004E"/>
    <w:rsid w:val="004A0792"/>
    <w:rsid w:val="004A24CF"/>
    <w:rsid w:val="004C3D1D"/>
    <w:rsid w:val="004C3D84"/>
    <w:rsid w:val="004C7913"/>
    <w:rsid w:val="004D4837"/>
    <w:rsid w:val="004E3A77"/>
    <w:rsid w:val="004E4DD6"/>
    <w:rsid w:val="004F401E"/>
    <w:rsid w:val="004F5E36"/>
    <w:rsid w:val="00507B47"/>
    <w:rsid w:val="00507BEF"/>
    <w:rsid w:val="00507CC9"/>
    <w:rsid w:val="005119A5"/>
    <w:rsid w:val="005131A7"/>
    <w:rsid w:val="00524184"/>
    <w:rsid w:val="005278B7"/>
    <w:rsid w:val="00532016"/>
    <w:rsid w:val="005346C8"/>
    <w:rsid w:val="005428FF"/>
    <w:rsid w:val="00543E7D"/>
    <w:rsid w:val="00547A68"/>
    <w:rsid w:val="00552CE1"/>
    <w:rsid w:val="005531C9"/>
    <w:rsid w:val="00554879"/>
    <w:rsid w:val="00570C43"/>
    <w:rsid w:val="005727C1"/>
    <w:rsid w:val="00585490"/>
    <w:rsid w:val="00587B3E"/>
    <w:rsid w:val="00592274"/>
    <w:rsid w:val="005B2110"/>
    <w:rsid w:val="005B350B"/>
    <w:rsid w:val="005B61E6"/>
    <w:rsid w:val="005C77E1"/>
    <w:rsid w:val="005D668A"/>
    <w:rsid w:val="005D6A2F"/>
    <w:rsid w:val="005E0592"/>
    <w:rsid w:val="005E1A82"/>
    <w:rsid w:val="005E3C1C"/>
    <w:rsid w:val="005E5E13"/>
    <w:rsid w:val="005E78B3"/>
    <w:rsid w:val="005E794C"/>
    <w:rsid w:val="005F0246"/>
    <w:rsid w:val="005F0A28"/>
    <w:rsid w:val="005F0E5E"/>
    <w:rsid w:val="005F4933"/>
    <w:rsid w:val="005F67C9"/>
    <w:rsid w:val="00600535"/>
    <w:rsid w:val="00610CD6"/>
    <w:rsid w:val="00615212"/>
    <w:rsid w:val="006208E3"/>
    <w:rsid w:val="00620DEE"/>
    <w:rsid w:val="00621AF0"/>
    <w:rsid w:val="00621F92"/>
    <w:rsid w:val="0062280A"/>
    <w:rsid w:val="006231E1"/>
    <w:rsid w:val="00625639"/>
    <w:rsid w:val="00626342"/>
    <w:rsid w:val="006303F8"/>
    <w:rsid w:val="00631B33"/>
    <w:rsid w:val="00637677"/>
    <w:rsid w:val="0064184D"/>
    <w:rsid w:val="006422CC"/>
    <w:rsid w:val="00651D18"/>
    <w:rsid w:val="00657ED3"/>
    <w:rsid w:val="00660E3E"/>
    <w:rsid w:val="00662E74"/>
    <w:rsid w:val="00680C23"/>
    <w:rsid w:val="00683E23"/>
    <w:rsid w:val="00685CF0"/>
    <w:rsid w:val="00693766"/>
    <w:rsid w:val="006947C4"/>
    <w:rsid w:val="0069699F"/>
    <w:rsid w:val="006A3281"/>
    <w:rsid w:val="006A43F9"/>
    <w:rsid w:val="006A6DE5"/>
    <w:rsid w:val="006B27C6"/>
    <w:rsid w:val="006B4888"/>
    <w:rsid w:val="006C0679"/>
    <w:rsid w:val="006C2E45"/>
    <w:rsid w:val="006C359C"/>
    <w:rsid w:val="006C5579"/>
    <w:rsid w:val="006C5E1C"/>
    <w:rsid w:val="006C7F4C"/>
    <w:rsid w:val="006D6E8B"/>
    <w:rsid w:val="006D7209"/>
    <w:rsid w:val="006E2E23"/>
    <w:rsid w:val="006E3B3E"/>
    <w:rsid w:val="006E737D"/>
    <w:rsid w:val="00707DD1"/>
    <w:rsid w:val="00713973"/>
    <w:rsid w:val="00720A24"/>
    <w:rsid w:val="00732386"/>
    <w:rsid w:val="007334F8"/>
    <w:rsid w:val="0073514D"/>
    <w:rsid w:val="007447F3"/>
    <w:rsid w:val="0075499F"/>
    <w:rsid w:val="00760ADF"/>
    <w:rsid w:val="007661C8"/>
    <w:rsid w:val="0077098D"/>
    <w:rsid w:val="00785BF9"/>
    <w:rsid w:val="007931FA"/>
    <w:rsid w:val="007A4861"/>
    <w:rsid w:val="007A7BBA"/>
    <w:rsid w:val="007B0C50"/>
    <w:rsid w:val="007B48F9"/>
    <w:rsid w:val="007C01FE"/>
    <w:rsid w:val="007C1A43"/>
    <w:rsid w:val="007C3CC5"/>
    <w:rsid w:val="007D0951"/>
    <w:rsid w:val="007D610D"/>
    <w:rsid w:val="007F1C34"/>
    <w:rsid w:val="007F35A8"/>
    <w:rsid w:val="0080013E"/>
    <w:rsid w:val="00801759"/>
    <w:rsid w:val="00813288"/>
    <w:rsid w:val="008168FC"/>
    <w:rsid w:val="008217F4"/>
    <w:rsid w:val="00830996"/>
    <w:rsid w:val="008345F1"/>
    <w:rsid w:val="00835800"/>
    <w:rsid w:val="0085536D"/>
    <w:rsid w:val="00864788"/>
    <w:rsid w:val="00865B07"/>
    <w:rsid w:val="008667EA"/>
    <w:rsid w:val="0087637F"/>
    <w:rsid w:val="00883EBE"/>
    <w:rsid w:val="00892AD5"/>
    <w:rsid w:val="0089696D"/>
    <w:rsid w:val="008A1512"/>
    <w:rsid w:val="008C0EFC"/>
    <w:rsid w:val="008D1922"/>
    <w:rsid w:val="008D291E"/>
    <w:rsid w:val="008D32B9"/>
    <w:rsid w:val="008D433B"/>
    <w:rsid w:val="008D4A16"/>
    <w:rsid w:val="008E136B"/>
    <w:rsid w:val="008E5401"/>
    <w:rsid w:val="008E566E"/>
    <w:rsid w:val="00900352"/>
    <w:rsid w:val="0090161A"/>
    <w:rsid w:val="00901EB6"/>
    <w:rsid w:val="009028D4"/>
    <w:rsid w:val="009041F8"/>
    <w:rsid w:val="00904C62"/>
    <w:rsid w:val="00922BA8"/>
    <w:rsid w:val="00924DAC"/>
    <w:rsid w:val="00927058"/>
    <w:rsid w:val="00935F88"/>
    <w:rsid w:val="0093643F"/>
    <w:rsid w:val="00941327"/>
    <w:rsid w:val="00942750"/>
    <w:rsid w:val="009450CE"/>
    <w:rsid w:val="009459BB"/>
    <w:rsid w:val="00947179"/>
    <w:rsid w:val="0095164B"/>
    <w:rsid w:val="00954090"/>
    <w:rsid w:val="009573E7"/>
    <w:rsid w:val="00963E05"/>
    <w:rsid w:val="00964A45"/>
    <w:rsid w:val="00967843"/>
    <w:rsid w:val="00967BDF"/>
    <w:rsid w:val="00967D54"/>
    <w:rsid w:val="00971028"/>
    <w:rsid w:val="00972ED1"/>
    <w:rsid w:val="009764A7"/>
    <w:rsid w:val="00993B84"/>
    <w:rsid w:val="00994C6A"/>
    <w:rsid w:val="00996483"/>
    <w:rsid w:val="00996F5A"/>
    <w:rsid w:val="009B041A"/>
    <w:rsid w:val="009B6E57"/>
    <w:rsid w:val="009C2E19"/>
    <w:rsid w:val="009C37C3"/>
    <w:rsid w:val="009C7C86"/>
    <w:rsid w:val="009D2FF7"/>
    <w:rsid w:val="009E177A"/>
    <w:rsid w:val="009E2DB5"/>
    <w:rsid w:val="009E399F"/>
    <w:rsid w:val="009E7884"/>
    <w:rsid w:val="009E788A"/>
    <w:rsid w:val="009E7DEA"/>
    <w:rsid w:val="009F0E08"/>
    <w:rsid w:val="00A05477"/>
    <w:rsid w:val="00A079AE"/>
    <w:rsid w:val="00A1763D"/>
    <w:rsid w:val="00A17CEC"/>
    <w:rsid w:val="00A27EF0"/>
    <w:rsid w:val="00A31B70"/>
    <w:rsid w:val="00A33718"/>
    <w:rsid w:val="00A35283"/>
    <w:rsid w:val="00A42361"/>
    <w:rsid w:val="00A50B20"/>
    <w:rsid w:val="00A51390"/>
    <w:rsid w:val="00A51D5C"/>
    <w:rsid w:val="00A60D13"/>
    <w:rsid w:val="00A716FA"/>
    <w:rsid w:val="00A7223D"/>
    <w:rsid w:val="00A72745"/>
    <w:rsid w:val="00A73C40"/>
    <w:rsid w:val="00A76EFC"/>
    <w:rsid w:val="00A776B6"/>
    <w:rsid w:val="00A87D50"/>
    <w:rsid w:val="00A91010"/>
    <w:rsid w:val="00A91B00"/>
    <w:rsid w:val="00A97F29"/>
    <w:rsid w:val="00AA702E"/>
    <w:rsid w:val="00AA7D26"/>
    <w:rsid w:val="00AB0964"/>
    <w:rsid w:val="00AB5011"/>
    <w:rsid w:val="00AC1FD1"/>
    <w:rsid w:val="00AC7368"/>
    <w:rsid w:val="00AD16B9"/>
    <w:rsid w:val="00AD1CFA"/>
    <w:rsid w:val="00AE377D"/>
    <w:rsid w:val="00AF0EBA"/>
    <w:rsid w:val="00AF2463"/>
    <w:rsid w:val="00B02C8A"/>
    <w:rsid w:val="00B17FBD"/>
    <w:rsid w:val="00B315A6"/>
    <w:rsid w:val="00B31813"/>
    <w:rsid w:val="00B321FC"/>
    <w:rsid w:val="00B33365"/>
    <w:rsid w:val="00B43473"/>
    <w:rsid w:val="00B43E72"/>
    <w:rsid w:val="00B57B36"/>
    <w:rsid w:val="00B57E6F"/>
    <w:rsid w:val="00B8686D"/>
    <w:rsid w:val="00B93F69"/>
    <w:rsid w:val="00BA1EB5"/>
    <w:rsid w:val="00BB0E49"/>
    <w:rsid w:val="00BB1DDC"/>
    <w:rsid w:val="00BC30C9"/>
    <w:rsid w:val="00BC3DB4"/>
    <w:rsid w:val="00BD077D"/>
    <w:rsid w:val="00BE3E58"/>
    <w:rsid w:val="00BF13CE"/>
    <w:rsid w:val="00BF6285"/>
    <w:rsid w:val="00BF745A"/>
    <w:rsid w:val="00C01616"/>
    <w:rsid w:val="00C0162B"/>
    <w:rsid w:val="00C068ED"/>
    <w:rsid w:val="00C1379D"/>
    <w:rsid w:val="00C166CF"/>
    <w:rsid w:val="00C22E0C"/>
    <w:rsid w:val="00C251C9"/>
    <w:rsid w:val="00C30AA0"/>
    <w:rsid w:val="00C345B1"/>
    <w:rsid w:val="00C40142"/>
    <w:rsid w:val="00C50F37"/>
    <w:rsid w:val="00C52C3C"/>
    <w:rsid w:val="00C57182"/>
    <w:rsid w:val="00C57267"/>
    <w:rsid w:val="00C57863"/>
    <w:rsid w:val="00C640AF"/>
    <w:rsid w:val="00C655FD"/>
    <w:rsid w:val="00C673EF"/>
    <w:rsid w:val="00C67A45"/>
    <w:rsid w:val="00C740F8"/>
    <w:rsid w:val="00C75407"/>
    <w:rsid w:val="00C841C6"/>
    <w:rsid w:val="00C870A8"/>
    <w:rsid w:val="00C94434"/>
    <w:rsid w:val="00C9792C"/>
    <w:rsid w:val="00CA0D75"/>
    <w:rsid w:val="00CA1C95"/>
    <w:rsid w:val="00CA5132"/>
    <w:rsid w:val="00CA5A9C"/>
    <w:rsid w:val="00CB0FF7"/>
    <w:rsid w:val="00CC200B"/>
    <w:rsid w:val="00CC4C20"/>
    <w:rsid w:val="00CC50A8"/>
    <w:rsid w:val="00CD3517"/>
    <w:rsid w:val="00CD5FE2"/>
    <w:rsid w:val="00CE2013"/>
    <w:rsid w:val="00CE7C68"/>
    <w:rsid w:val="00D02B4C"/>
    <w:rsid w:val="00D040C4"/>
    <w:rsid w:val="00D07FEB"/>
    <w:rsid w:val="00D20AD1"/>
    <w:rsid w:val="00D2582C"/>
    <w:rsid w:val="00D3127C"/>
    <w:rsid w:val="00D34080"/>
    <w:rsid w:val="00D462A7"/>
    <w:rsid w:val="00D46B7E"/>
    <w:rsid w:val="00D57C84"/>
    <w:rsid w:val="00D6057D"/>
    <w:rsid w:val="00D66D0E"/>
    <w:rsid w:val="00D71640"/>
    <w:rsid w:val="00D821D1"/>
    <w:rsid w:val="00D836C5"/>
    <w:rsid w:val="00D84576"/>
    <w:rsid w:val="00D92A7B"/>
    <w:rsid w:val="00DA1399"/>
    <w:rsid w:val="00DA24C6"/>
    <w:rsid w:val="00DA4D7B"/>
    <w:rsid w:val="00DA6A4B"/>
    <w:rsid w:val="00DC2840"/>
    <w:rsid w:val="00DC73EE"/>
    <w:rsid w:val="00DD271C"/>
    <w:rsid w:val="00DE264A"/>
    <w:rsid w:val="00DF48E9"/>
    <w:rsid w:val="00DF5072"/>
    <w:rsid w:val="00DF724D"/>
    <w:rsid w:val="00E02D18"/>
    <w:rsid w:val="00E041E7"/>
    <w:rsid w:val="00E2317B"/>
    <w:rsid w:val="00E23CA1"/>
    <w:rsid w:val="00E2633D"/>
    <w:rsid w:val="00E352A9"/>
    <w:rsid w:val="00E409A8"/>
    <w:rsid w:val="00E44FBF"/>
    <w:rsid w:val="00E50C12"/>
    <w:rsid w:val="00E65B91"/>
    <w:rsid w:val="00E7209D"/>
    <w:rsid w:val="00E72EAD"/>
    <w:rsid w:val="00E74045"/>
    <w:rsid w:val="00E77223"/>
    <w:rsid w:val="00E8528B"/>
    <w:rsid w:val="00E85B94"/>
    <w:rsid w:val="00E978D0"/>
    <w:rsid w:val="00EA4613"/>
    <w:rsid w:val="00EA496C"/>
    <w:rsid w:val="00EA78E4"/>
    <w:rsid w:val="00EA7F91"/>
    <w:rsid w:val="00EB1523"/>
    <w:rsid w:val="00EC0E49"/>
    <w:rsid w:val="00EC101F"/>
    <w:rsid w:val="00EC1D9F"/>
    <w:rsid w:val="00ED344A"/>
    <w:rsid w:val="00EE0131"/>
    <w:rsid w:val="00EE17B0"/>
    <w:rsid w:val="00EF06D9"/>
    <w:rsid w:val="00F01B46"/>
    <w:rsid w:val="00F06044"/>
    <w:rsid w:val="00F3049E"/>
    <w:rsid w:val="00F30C64"/>
    <w:rsid w:val="00F32BA2"/>
    <w:rsid w:val="00F32CDB"/>
    <w:rsid w:val="00F41EE4"/>
    <w:rsid w:val="00F4528B"/>
    <w:rsid w:val="00F47119"/>
    <w:rsid w:val="00F543ED"/>
    <w:rsid w:val="00F5658A"/>
    <w:rsid w:val="00F565FE"/>
    <w:rsid w:val="00F62436"/>
    <w:rsid w:val="00F63A70"/>
    <w:rsid w:val="00F63D8C"/>
    <w:rsid w:val="00F65601"/>
    <w:rsid w:val="00F7534E"/>
    <w:rsid w:val="00F85D48"/>
    <w:rsid w:val="00F911EE"/>
    <w:rsid w:val="00F93EDF"/>
    <w:rsid w:val="00F94DA5"/>
    <w:rsid w:val="00FA0BDD"/>
    <w:rsid w:val="00FA1802"/>
    <w:rsid w:val="00FA1AF6"/>
    <w:rsid w:val="00FA21D0"/>
    <w:rsid w:val="00FA5F5F"/>
    <w:rsid w:val="00FB0DE8"/>
    <w:rsid w:val="00FB5A91"/>
    <w:rsid w:val="00FB5F21"/>
    <w:rsid w:val="00FB730C"/>
    <w:rsid w:val="00FC2695"/>
    <w:rsid w:val="00FC3E03"/>
    <w:rsid w:val="00FC3FC1"/>
    <w:rsid w:val="00FE637C"/>
    <w:rsid w:val="00FF112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1509E2"/>
    <w:rPr>
      <w:color w:val="666666"/>
    </w:rPr>
  </w:style>
  <w:style w:type="paragraph" w:styleId="Revisione">
    <w:name w:val="Revision"/>
    <w:hidden/>
    <w:uiPriority w:val="99"/>
    <w:semiHidden/>
    <w:rsid w:val="00D821D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8124">
      <w:bodyDiv w:val="1"/>
      <w:marLeft w:val="0"/>
      <w:marRight w:val="0"/>
      <w:marTop w:val="0"/>
      <w:marBottom w:val="0"/>
      <w:divBdr>
        <w:top w:val="none" w:sz="0" w:space="0" w:color="auto"/>
        <w:left w:val="none" w:sz="0" w:space="0" w:color="auto"/>
        <w:bottom w:val="none" w:sz="0" w:space="0" w:color="auto"/>
        <w:right w:val="none" w:sz="0" w:space="0" w:color="auto"/>
      </w:divBdr>
      <w:divsChild>
        <w:div w:id="1039548819">
          <w:marLeft w:val="480"/>
          <w:marRight w:val="0"/>
          <w:marTop w:val="0"/>
          <w:marBottom w:val="0"/>
          <w:divBdr>
            <w:top w:val="none" w:sz="0" w:space="0" w:color="auto"/>
            <w:left w:val="none" w:sz="0" w:space="0" w:color="auto"/>
            <w:bottom w:val="none" w:sz="0" w:space="0" w:color="auto"/>
            <w:right w:val="none" w:sz="0" w:space="0" w:color="auto"/>
          </w:divBdr>
        </w:div>
        <w:div w:id="1129281433">
          <w:marLeft w:val="480"/>
          <w:marRight w:val="0"/>
          <w:marTop w:val="0"/>
          <w:marBottom w:val="0"/>
          <w:divBdr>
            <w:top w:val="none" w:sz="0" w:space="0" w:color="auto"/>
            <w:left w:val="none" w:sz="0" w:space="0" w:color="auto"/>
            <w:bottom w:val="none" w:sz="0" w:space="0" w:color="auto"/>
            <w:right w:val="none" w:sz="0" w:space="0" w:color="auto"/>
          </w:divBdr>
        </w:div>
        <w:div w:id="394134685">
          <w:marLeft w:val="480"/>
          <w:marRight w:val="0"/>
          <w:marTop w:val="0"/>
          <w:marBottom w:val="0"/>
          <w:divBdr>
            <w:top w:val="none" w:sz="0" w:space="0" w:color="auto"/>
            <w:left w:val="none" w:sz="0" w:space="0" w:color="auto"/>
            <w:bottom w:val="none" w:sz="0" w:space="0" w:color="auto"/>
            <w:right w:val="none" w:sz="0" w:space="0" w:color="auto"/>
          </w:divBdr>
        </w:div>
        <w:div w:id="89087855">
          <w:marLeft w:val="480"/>
          <w:marRight w:val="0"/>
          <w:marTop w:val="0"/>
          <w:marBottom w:val="0"/>
          <w:divBdr>
            <w:top w:val="none" w:sz="0" w:space="0" w:color="auto"/>
            <w:left w:val="none" w:sz="0" w:space="0" w:color="auto"/>
            <w:bottom w:val="none" w:sz="0" w:space="0" w:color="auto"/>
            <w:right w:val="none" w:sz="0" w:space="0" w:color="auto"/>
          </w:divBdr>
        </w:div>
        <w:div w:id="580678633">
          <w:marLeft w:val="480"/>
          <w:marRight w:val="0"/>
          <w:marTop w:val="0"/>
          <w:marBottom w:val="0"/>
          <w:divBdr>
            <w:top w:val="none" w:sz="0" w:space="0" w:color="auto"/>
            <w:left w:val="none" w:sz="0" w:space="0" w:color="auto"/>
            <w:bottom w:val="none" w:sz="0" w:space="0" w:color="auto"/>
            <w:right w:val="none" w:sz="0" w:space="0" w:color="auto"/>
          </w:divBdr>
        </w:div>
        <w:div w:id="1845124869">
          <w:marLeft w:val="480"/>
          <w:marRight w:val="0"/>
          <w:marTop w:val="0"/>
          <w:marBottom w:val="0"/>
          <w:divBdr>
            <w:top w:val="none" w:sz="0" w:space="0" w:color="auto"/>
            <w:left w:val="none" w:sz="0" w:space="0" w:color="auto"/>
            <w:bottom w:val="none" w:sz="0" w:space="0" w:color="auto"/>
            <w:right w:val="none" w:sz="0" w:space="0" w:color="auto"/>
          </w:divBdr>
        </w:div>
        <w:div w:id="616183826">
          <w:marLeft w:val="480"/>
          <w:marRight w:val="0"/>
          <w:marTop w:val="0"/>
          <w:marBottom w:val="0"/>
          <w:divBdr>
            <w:top w:val="none" w:sz="0" w:space="0" w:color="auto"/>
            <w:left w:val="none" w:sz="0" w:space="0" w:color="auto"/>
            <w:bottom w:val="none" w:sz="0" w:space="0" w:color="auto"/>
            <w:right w:val="none" w:sz="0" w:space="0" w:color="auto"/>
          </w:divBdr>
        </w:div>
        <w:div w:id="1585453293">
          <w:marLeft w:val="480"/>
          <w:marRight w:val="0"/>
          <w:marTop w:val="0"/>
          <w:marBottom w:val="0"/>
          <w:divBdr>
            <w:top w:val="none" w:sz="0" w:space="0" w:color="auto"/>
            <w:left w:val="none" w:sz="0" w:space="0" w:color="auto"/>
            <w:bottom w:val="none" w:sz="0" w:space="0" w:color="auto"/>
            <w:right w:val="none" w:sz="0" w:space="0" w:color="auto"/>
          </w:divBdr>
        </w:div>
      </w:divsChild>
    </w:div>
    <w:div w:id="193006017">
      <w:bodyDiv w:val="1"/>
      <w:marLeft w:val="0"/>
      <w:marRight w:val="0"/>
      <w:marTop w:val="0"/>
      <w:marBottom w:val="0"/>
      <w:divBdr>
        <w:top w:val="none" w:sz="0" w:space="0" w:color="auto"/>
        <w:left w:val="none" w:sz="0" w:space="0" w:color="auto"/>
        <w:bottom w:val="none" w:sz="0" w:space="0" w:color="auto"/>
        <w:right w:val="none" w:sz="0" w:space="0" w:color="auto"/>
      </w:divBdr>
      <w:divsChild>
        <w:div w:id="493691655">
          <w:marLeft w:val="480"/>
          <w:marRight w:val="0"/>
          <w:marTop w:val="0"/>
          <w:marBottom w:val="0"/>
          <w:divBdr>
            <w:top w:val="none" w:sz="0" w:space="0" w:color="auto"/>
            <w:left w:val="none" w:sz="0" w:space="0" w:color="auto"/>
            <w:bottom w:val="none" w:sz="0" w:space="0" w:color="auto"/>
            <w:right w:val="none" w:sz="0" w:space="0" w:color="auto"/>
          </w:divBdr>
        </w:div>
        <w:div w:id="124468926">
          <w:marLeft w:val="480"/>
          <w:marRight w:val="0"/>
          <w:marTop w:val="0"/>
          <w:marBottom w:val="0"/>
          <w:divBdr>
            <w:top w:val="none" w:sz="0" w:space="0" w:color="auto"/>
            <w:left w:val="none" w:sz="0" w:space="0" w:color="auto"/>
            <w:bottom w:val="none" w:sz="0" w:space="0" w:color="auto"/>
            <w:right w:val="none" w:sz="0" w:space="0" w:color="auto"/>
          </w:divBdr>
        </w:div>
        <w:div w:id="1526746474">
          <w:marLeft w:val="480"/>
          <w:marRight w:val="0"/>
          <w:marTop w:val="0"/>
          <w:marBottom w:val="0"/>
          <w:divBdr>
            <w:top w:val="none" w:sz="0" w:space="0" w:color="auto"/>
            <w:left w:val="none" w:sz="0" w:space="0" w:color="auto"/>
            <w:bottom w:val="none" w:sz="0" w:space="0" w:color="auto"/>
            <w:right w:val="none" w:sz="0" w:space="0" w:color="auto"/>
          </w:divBdr>
        </w:div>
      </w:divsChild>
    </w:div>
    <w:div w:id="207184203">
      <w:bodyDiv w:val="1"/>
      <w:marLeft w:val="0"/>
      <w:marRight w:val="0"/>
      <w:marTop w:val="0"/>
      <w:marBottom w:val="0"/>
      <w:divBdr>
        <w:top w:val="none" w:sz="0" w:space="0" w:color="auto"/>
        <w:left w:val="none" w:sz="0" w:space="0" w:color="auto"/>
        <w:bottom w:val="none" w:sz="0" w:space="0" w:color="auto"/>
        <w:right w:val="none" w:sz="0" w:space="0" w:color="auto"/>
      </w:divBdr>
      <w:divsChild>
        <w:div w:id="1932470732">
          <w:marLeft w:val="480"/>
          <w:marRight w:val="0"/>
          <w:marTop w:val="0"/>
          <w:marBottom w:val="0"/>
          <w:divBdr>
            <w:top w:val="none" w:sz="0" w:space="0" w:color="auto"/>
            <w:left w:val="none" w:sz="0" w:space="0" w:color="auto"/>
            <w:bottom w:val="none" w:sz="0" w:space="0" w:color="auto"/>
            <w:right w:val="none" w:sz="0" w:space="0" w:color="auto"/>
          </w:divBdr>
        </w:div>
        <w:div w:id="1360161686">
          <w:marLeft w:val="480"/>
          <w:marRight w:val="0"/>
          <w:marTop w:val="0"/>
          <w:marBottom w:val="0"/>
          <w:divBdr>
            <w:top w:val="none" w:sz="0" w:space="0" w:color="auto"/>
            <w:left w:val="none" w:sz="0" w:space="0" w:color="auto"/>
            <w:bottom w:val="none" w:sz="0" w:space="0" w:color="auto"/>
            <w:right w:val="none" w:sz="0" w:space="0" w:color="auto"/>
          </w:divBdr>
        </w:div>
        <w:div w:id="923145688">
          <w:marLeft w:val="480"/>
          <w:marRight w:val="0"/>
          <w:marTop w:val="0"/>
          <w:marBottom w:val="0"/>
          <w:divBdr>
            <w:top w:val="none" w:sz="0" w:space="0" w:color="auto"/>
            <w:left w:val="none" w:sz="0" w:space="0" w:color="auto"/>
            <w:bottom w:val="none" w:sz="0" w:space="0" w:color="auto"/>
            <w:right w:val="none" w:sz="0" w:space="0" w:color="auto"/>
          </w:divBdr>
        </w:div>
        <w:div w:id="796871367">
          <w:marLeft w:val="480"/>
          <w:marRight w:val="0"/>
          <w:marTop w:val="0"/>
          <w:marBottom w:val="0"/>
          <w:divBdr>
            <w:top w:val="none" w:sz="0" w:space="0" w:color="auto"/>
            <w:left w:val="none" w:sz="0" w:space="0" w:color="auto"/>
            <w:bottom w:val="none" w:sz="0" w:space="0" w:color="auto"/>
            <w:right w:val="none" w:sz="0" w:space="0" w:color="auto"/>
          </w:divBdr>
        </w:div>
        <w:div w:id="1768306250">
          <w:marLeft w:val="480"/>
          <w:marRight w:val="0"/>
          <w:marTop w:val="0"/>
          <w:marBottom w:val="0"/>
          <w:divBdr>
            <w:top w:val="none" w:sz="0" w:space="0" w:color="auto"/>
            <w:left w:val="none" w:sz="0" w:space="0" w:color="auto"/>
            <w:bottom w:val="none" w:sz="0" w:space="0" w:color="auto"/>
            <w:right w:val="none" w:sz="0" w:space="0" w:color="auto"/>
          </w:divBdr>
        </w:div>
        <w:div w:id="286199134">
          <w:marLeft w:val="480"/>
          <w:marRight w:val="0"/>
          <w:marTop w:val="0"/>
          <w:marBottom w:val="0"/>
          <w:divBdr>
            <w:top w:val="none" w:sz="0" w:space="0" w:color="auto"/>
            <w:left w:val="none" w:sz="0" w:space="0" w:color="auto"/>
            <w:bottom w:val="none" w:sz="0" w:space="0" w:color="auto"/>
            <w:right w:val="none" w:sz="0" w:space="0" w:color="auto"/>
          </w:divBdr>
        </w:div>
        <w:div w:id="1069960323">
          <w:marLeft w:val="480"/>
          <w:marRight w:val="0"/>
          <w:marTop w:val="0"/>
          <w:marBottom w:val="0"/>
          <w:divBdr>
            <w:top w:val="none" w:sz="0" w:space="0" w:color="auto"/>
            <w:left w:val="none" w:sz="0" w:space="0" w:color="auto"/>
            <w:bottom w:val="none" w:sz="0" w:space="0" w:color="auto"/>
            <w:right w:val="none" w:sz="0" w:space="0" w:color="auto"/>
          </w:divBdr>
        </w:div>
        <w:div w:id="403376721">
          <w:marLeft w:val="480"/>
          <w:marRight w:val="0"/>
          <w:marTop w:val="0"/>
          <w:marBottom w:val="0"/>
          <w:divBdr>
            <w:top w:val="none" w:sz="0" w:space="0" w:color="auto"/>
            <w:left w:val="none" w:sz="0" w:space="0" w:color="auto"/>
            <w:bottom w:val="none" w:sz="0" w:space="0" w:color="auto"/>
            <w:right w:val="none" w:sz="0" w:space="0" w:color="auto"/>
          </w:divBdr>
        </w:div>
        <w:div w:id="1827086776">
          <w:marLeft w:val="480"/>
          <w:marRight w:val="0"/>
          <w:marTop w:val="0"/>
          <w:marBottom w:val="0"/>
          <w:divBdr>
            <w:top w:val="none" w:sz="0" w:space="0" w:color="auto"/>
            <w:left w:val="none" w:sz="0" w:space="0" w:color="auto"/>
            <w:bottom w:val="none" w:sz="0" w:space="0" w:color="auto"/>
            <w:right w:val="none" w:sz="0" w:space="0" w:color="auto"/>
          </w:divBdr>
        </w:div>
      </w:divsChild>
    </w:div>
    <w:div w:id="211383246">
      <w:bodyDiv w:val="1"/>
      <w:marLeft w:val="0"/>
      <w:marRight w:val="0"/>
      <w:marTop w:val="0"/>
      <w:marBottom w:val="0"/>
      <w:divBdr>
        <w:top w:val="none" w:sz="0" w:space="0" w:color="auto"/>
        <w:left w:val="none" w:sz="0" w:space="0" w:color="auto"/>
        <w:bottom w:val="none" w:sz="0" w:space="0" w:color="auto"/>
        <w:right w:val="none" w:sz="0" w:space="0" w:color="auto"/>
      </w:divBdr>
      <w:divsChild>
        <w:div w:id="510681561">
          <w:marLeft w:val="480"/>
          <w:marRight w:val="0"/>
          <w:marTop w:val="0"/>
          <w:marBottom w:val="0"/>
          <w:divBdr>
            <w:top w:val="none" w:sz="0" w:space="0" w:color="auto"/>
            <w:left w:val="none" w:sz="0" w:space="0" w:color="auto"/>
            <w:bottom w:val="none" w:sz="0" w:space="0" w:color="auto"/>
            <w:right w:val="none" w:sz="0" w:space="0" w:color="auto"/>
          </w:divBdr>
        </w:div>
        <w:div w:id="984967229">
          <w:marLeft w:val="480"/>
          <w:marRight w:val="0"/>
          <w:marTop w:val="0"/>
          <w:marBottom w:val="0"/>
          <w:divBdr>
            <w:top w:val="none" w:sz="0" w:space="0" w:color="auto"/>
            <w:left w:val="none" w:sz="0" w:space="0" w:color="auto"/>
            <w:bottom w:val="none" w:sz="0" w:space="0" w:color="auto"/>
            <w:right w:val="none" w:sz="0" w:space="0" w:color="auto"/>
          </w:divBdr>
        </w:div>
        <w:div w:id="762920928">
          <w:marLeft w:val="480"/>
          <w:marRight w:val="0"/>
          <w:marTop w:val="0"/>
          <w:marBottom w:val="0"/>
          <w:divBdr>
            <w:top w:val="none" w:sz="0" w:space="0" w:color="auto"/>
            <w:left w:val="none" w:sz="0" w:space="0" w:color="auto"/>
            <w:bottom w:val="none" w:sz="0" w:space="0" w:color="auto"/>
            <w:right w:val="none" w:sz="0" w:space="0" w:color="auto"/>
          </w:divBdr>
        </w:div>
        <w:div w:id="840505048">
          <w:marLeft w:val="480"/>
          <w:marRight w:val="0"/>
          <w:marTop w:val="0"/>
          <w:marBottom w:val="0"/>
          <w:divBdr>
            <w:top w:val="none" w:sz="0" w:space="0" w:color="auto"/>
            <w:left w:val="none" w:sz="0" w:space="0" w:color="auto"/>
            <w:bottom w:val="none" w:sz="0" w:space="0" w:color="auto"/>
            <w:right w:val="none" w:sz="0" w:space="0" w:color="auto"/>
          </w:divBdr>
        </w:div>
        <w:div w:id="1144352312">
          <w:marLeft w:val="480"/>
          <w:marRight w:val="0"/>
          <w:marTop w:val="0"/>
          <w:marBottom w:val="0"/>
          <w:divBdr>
            <w:top w:val="none" w:sz="0" w:space="0" w:color="auto"/>
            <w:left w:val="none" w:sz="0" w:space="0" w:color="auto"/>
            <w:bottom w:val="none" w:sz="0" w:space="0" w:color="auto"/>
            <w:right w:val="none" w:sz="0" w:space="0" w:color="auto"/>
          </w:divBdr>
        </w:div>
        <w:div w:id="1595360876">
          <w:marLeft w:val="480"/>
          <w:marRight w:val="0"/>
          <w:marTop w:val="0"/>
          <w:marBottom w:val="0"/>
          <w:divBdr>
            <w:top w:val="none" w:sz="0" w:space="0" w:color="auto"/>
            <w:left w:val="none" w:sz="0" w:space="0" w:color="auto"/>
            <w:bottom w:val="none" w:sz="0" w:space="0" w:color="auto"/>
            <w:right w:val="none" w:sz="0" w:space="0" w:color="auto"/>
          </w:divBdr>
        </w:div>
        <w:div w:id="1838032454">
          <w:marLeft w:val="480"/>
          <w:marRight w:val="0"/>
          <w:marTop w:val="0"/>
          <w:marBottom w:val="0"/>
          <w:divBdr>
            <w:top w:val="none" w:sz="0" w:space="0" w:color="auto"/>
            <w:left w:val="none" w:sz="0" w:space="0" w:color="auto"/>
            <w:bottom w:val="none" w:sz="0" w:space="0" w:color="auto"/>
            <w:right w:val="none" w:sz="0" w:space="0" w:color="auto"/>
          </w:divBdr>
        </w:div>
        <w:div w:id="71391306">
          <w:marLeft w:val="480"/>
          <w:marRight w:val="0"/>
          <w:marTop w:val="0"/>
          <w:marBottom w:val="0"/>
          <w:divBdr>
            <w:top w:val="none" w:sz="0" w:space="0" w:color="auto"/>
            <w:left w:val="none" w:sz="0" w:space="0" w:color="auto"/>
            <w:bottom w:val="none" w:sz="0" w:space="0" w:color="auto"/>
            <w:right w:val="none" w:sz="0" w:space="0" w:color="auto"/>
          </w:divBdr>
        </w:div>
        <w:div w:id="1492332646">
          <w:marLeft w:val="480"/>
          <w:marRight w:val="0"/>
          <w:marTop w:val="0"/>
          <w:marBottom w:val="0"/>
          <w:divBdr>
            <w:top w:val="none" w:sz="0" w:space="0" w:color="auto"/>
            <w:left w:val="none" w:sz="0" w:space="0" w:color="auto"/>
            <w:bottom w:val="none" w:sz="0" w:space="0" w:color="auto"/>
            <w:right w:val="none" w:sz="0" w:space="0" w:color="auto"/>
          </w:divBdr>
        </w:div>
        <w:div w:id="195657570">
          <w:marLeft w:val="480"/>
          <w:marRight w:val="0"/>
          <w:marTop w:val="0"/>
          <w:marBottom w:val="0"/>
          <w:divBdr>
            <w:top w:val="none" w:sz="0" w:space="0" w:color="auto"/>
            <w:left w:val="none" w:sz="0" w:space="0" w:color="auto"/>
            <w:bottom w:val="none" w:sz="0" w:space="0" w:color="auto"/>
            <w:right w:val="none" w:sz="0" w:space="0" w:color="auto"/>
          </w:divBdr>
        </w:div>
      </w:divsChild>
    </w:div>
    <w:div w:id="338966022">
      <w:bodyDiv w:val="1"/>
      <w:marLeft w:val="0"/>
      <w:marRight w:val="0"/>
      <w:marTop w:val="0"/>
      <w:marBottom w:val="0"/>
      <w:divBdr>
        <w:top w:val="none" w:sz="0" w:space="0" w:color="auto"/>
        <w:left w:val="none" w:sz="0" w:space="0" w:color="auto"/>
        <w:bottom w:val="none" w:sz="0" w:space="0" w:color="auto"/>
        <w:right w:val="none" w:sz="0" w:space="0" w:color="auto"/>
      </w:divBdr>
      <w:divsChild>
        <w:div w:id="717977370">
          <w:marLeft w:val="480"/>
          <w:marRight w:val="0"/>
          <w:marTop w:val="0"/>
          <w:marBottom w:val="0"/>
          <w:divBdr>
            <w:top w:val="none" w:sz="0" w:space="0" w:color="auto"/>
            <w:left w:val="none" w:sz="0" w:space="0" w:color="auto"/>
            <w:bottom w:val="none" w:sz="0" w:space="0" w:color="auto"/>
            <w:right w:val="none" w:sz="0" w:space="0" w:color="auto"/>
          </w:divBdr>
        </w:div>
        <w:div w:id="1851607024">
          <w:marLeft w:val="480"/>
          <w:marRight w:val="0"/>
          <w:marTop w:val="0"/>
          <w:marBottom w:val="0"/>
          <w:divBdr>
            <w:top w:val="none" w:sz="0" w:space="0" w:color="auto"/>
            <w:left w:val="none" w:sz="0" w:space="0" w:color="auto"/>
            <w:bottom w:val="none" w:sz="0" w:space="0" w:color="auto"/>
            <w:right w:val="none" w:sz="0" w:space="0" w:color="auto"/>
          </w:divBdr>
        </w:div>
      </w:divsChild>
    </w:div>
    <w:div w:id="408115308">
      <w:bodyDiv w:val="1"/>
      <w:marLeft w:val="0"/>
      <w:marRight w:val="0"/>
      <w:marTop w:val="0"/>
      <w:marBottom w:val="0"/>
      <w:divBdr>
        <w:top w:val="none" w:sz="0" w:space="0" w:color="auto"/>
        <w:left w:val="none" w:sz="0" w:space="0" w:color="auto"/>
        <w:bottom w:val="none" w:sz="0" w:space="0" w:color="auto"/>
        <w:right w:val="none" w:sz="0" w:space="0" w:color="auto"/>
      </w:divBdr>
      <w:divsChild>
        <w:div w:id="1234314196">
          <w:marLeft w:val="480"/>
          <w:marRight w:val="0"/>
          <w:marTop w:val="0"/>
          <w:marBottom w:val="0"/>
          <w:divBdr>
            <w:top w:val="none" w:sz="0" w:space="0" w:color="auto"/>
            <w:left w:val="none" w:sz="0" w:space="0" w:color="auto"/>
            <w:bottom w:val="none" w:sz="0" w:space="0" w:color="auto"/>
            <w:right w:val="none" w:sz="0" w:space="0" w:color="auto"/>
          </w:divBdr>
        </w:div>
        <w:div w:id="1855725999">
          <w:marLeft w:val="480"/>
          <w:marRight w:val="0"/>
          <w:marTop w:val="0"/>
          <w:marBottom w:val="0"/>
          <w:divBdr>
            <w:top w:val="none" w:sz="0" w:space="0" w:color="auto"/>
            <w:left w:val="none" w:sz="0" w:space="0" w:color="auto"/>
            <w:bottom w:val="none" w:sz="0" w:space="0" w:color="auto"/>
            <w:right w:val="none" w:sz="0" w:space="0" w:color="auto"/>
          </w:divBdr>
        </w:div>
        <w:div w:id="836337088">
          <w:marLeft w:val="480"/>
          <w:marRight w:val="0"/>
          <w:marTop w:val="0"/>
          <w:marBottom w:val="0"/>
          <w:divBdr>
            <w:top w:val="none" w:sz="0" w:space="0" w:color="auto"/>
            <w:left w:val="none" w:sz="0" w:space="0" w:color="auto"/>
            <w:bottom w:val="none" w:sz="0" w:space="0" w:color="auto"/>
            <w:right w:val="none" w:sz="0" w:space="0" w:color="auto"/>
          </w:divBdr>
        </w:div>
        <w:div w:id="1088228737">
          <w:marLeft w:val="480"/>
          <w:marRight w:val="0"/>
          <w:marTop w:val="0"/>
          <w:marBottom w:val="0"/>
          <w:divBdr>
            <w:top w:val="none" w:sz="0" w:space="0" w:color="auto"/>
            <w:left w:val="none" w:sz="0" w:space="0" w:color="auto"/>
            <w:bottom w:val="none" w:sz="0" w:space="0" w:color="auto"/>
            <w:right w:val="none" w:sz="0" w:space="0" w:color="auto"/>
          </w:divBdr>
        </w:div>
        <w:div w:id="574558752">
          <w:marLeft w:val="480"/>
          <w:marRight w:val="0"/>
          <w:marTop w:val="0"/>
          <w:marBottom w:val="0"/>
          <w:divBdr>
            <w:top w:val="none" w:sz="0" w:space="0" w:color="auto"/>
            <w:left w:val="none" w:sz="0" w:space="0" w:color="auto"/>
            <w:bottom w:val="none" w:sz="0" w:space="0" w:color="auto"/>
            <w:right w:val="none" w:sz="0" w:space="0" w:color="auto"/>
          </w:divBdr>
        </w:div>
      </w:divsChild>
    </w:div>
    <w:div w:id="655913736">
      <w:bodyDiv w:val="1"/>
      <w:marLeft w:val="0"/>
      <w:marRight w:val="0"/>
      <w:marTop w:val="0"/>
      <w:marBottom w:val="0"/>
      <w:divBdr>
        <w:top w:val="none" w:sz="0" w:space="0" w:color="auto"/>
        <w:left w:val="none" w:sz="0" w:space="0" w:color="auto"/>
        <w:bottom w:val="none" w:sz="0" w:space="0" w:color="auto"/>
        <w:right w:val="none" w:sz="0" w:space="0" w:color="auto"/>
      </w:divBdr>
      <w:divsChild>
        <w:div w:id="1130978641">
          <w:marLeft w:val="480"/>
          <w:marRight w:val="0"/>
          <w:marTop w:val="0"/>
          <w:marBottom w:val="0"/>
          <w:divBdr>
            <w:top w:val="none" w:sz="0" w:space="0" w:color="auto"/>
            <w:left w:val="none" w:sz="0" w:space="0" w:color="auto"/>
            <w:bottom w:val="none" w:sz="0" w:space="0" w:color="auto"/>
            <w:right w:val="none" w:sz="0" w:space="0" w:color="auto"/>
          </w:divBdr>
        </w:div>
        <w:div w:id="401485477">
          <w:marLeft w:val="480"/>
          <w:marRight w:val="0"/>
          <w:marTop w:val="0"/>
          <w:marBottom w:val="0"/>
          <w:divBdr>
            <w:top w:val="none" w:sz="0" w:space="0" w:color="auto"/>
            <w:left w:val="none" w:sz="0" w:space="0" w:color="auto"/>
            <w:bottom w:val="none" w:sz="0" w:space="0" w:color="auto"/>
            <w:right w:val="none" w:sz="0" w:space="0" w:color="auto"/>
          </w:divBdr>
        </w:div>
        <w:div w:id="1518885695">
          <w:marLeft w:val="480"/>
          <w:marRight w:val="0"/>
          <w:marTop w:val="0"/>
          <w:marBottom w:val="0"/>
          <w:divBdr>
            <w:top w:val="none" w:sz="0" w:space="0" w:color="auto"/>
            <w:left w:val="none" w:sz="0" w:space="0" w:color="auto"/>
            <w:bottom w:val="none" w:sz="0" w:space="0" w:color="auto"/>
            <w:right w:val="none" w:sz="0" w:space="0" w:color="auto"/>
          </w:divBdr>
        </w:div>
        <w:div w:id="2049791118">
          <w:marLeft w:val="480"/>
          <w:marRight w:val="0"/>
          <w:marTop w:val="0"/>
          <w:marBottom w:val="0"/>
          <w:divBdr>
            <w:top w:val="none" w:sz="0" w:space="0" w:color="auto"/>
            <w:left w:val="none" w:sz="0" w:space="0" w:color="auto"/>
            <w:bottom w:val="none" w:sz="0" w:space="0" w:color="auto"/>
            <w:right w:val="none" w:sz="0" w:space="0" w:color="auto"/>
          </w:divBdr>
        </w:div>
        <w:div w:id="680356472">
          <w:marLeft w:val="480"/>
          <w:marRight w:val="0"/>
          <w:marTop w:val="0"/>
          <w:marBottom w:val="0"/>
          <w:divBdr>
            <w:top w:val="none" w:sz="0" w:space="0" w:color="auto"/>
            <w:left w:val="none" w:sz="0" w:space="0" w:color="auto"/>
            <w:bottom w:val="none" w:sz="0" w:space="0" w:color="auto"/>
            <w:right w:val="none" w:sz="0" w:space="0" w:color="auto"/>
          </w:divBdr>
        </w:div>
        <w:div w:id="1033843152">
          <w:marLeft w:val="480"/>
          <w:marRight w:val="0"/>
          <w:marTop w:val="0"/>
          <w:marBottom w:val="0"/>
          <w:divBdr>
            <w:top w:val="none" w:sz="0" w:space="0" w:color="auto"/>
            <w:left w:val="none" w:sz="0" w:space="0" w:color="auto"/>
            <w:bottom w:val="none" w:sz="0" w:space="0" w:color="auto"/>
            <w:right w:val="none" w:sz="0" w:space="0" w:color="auto"/>
          </w:divBdr>
        </w:div>
        <w:div w:id="988825005">
          <w:marLeft w:val="480"/>
          <w:marRight w:val="0"/>
          <w:marTop w:val="0"/>
          <w:marBottom w:val="0"/>
          <w:divBdr>
            <w:top w:val="none" w:sz="0" w:space="0" w:color="auto"/>
            <w:left w:val="none" w:sz="0" w:space="0" w:color="auto"/>
            <w:bottom w:val="none" w:sz="0" w:space="0" w:color="auto"/>
            <w:right w:val="none" w:sz="0" w:space="0" w:color="auto"/>
          </w:divBdr>
        </w:div>
        <w:div w:id="1107848632">
          <w:marLeft w:val="480"/>
          <w:marRight w:val="0"/>
          <w:marTop w:val="0"/>
          <w:marBottom w:val="0"/>
          <w:divBdr>
            <w:top w:val="none" w:sz="0" w:space="0" w:color="auto"/>
            <w:left w:val="none" w:sz="0" w:space="0" w:color="auto"/>
            <w:bottom w:val="none" w:sz="0" w:space="0" w:color="auto"/>
            <w:right w:val="none" w:sz="0" w:space="0" w:color="auto"/>
          </w:divBdr>
        </w:div>
        <w:div w:id="1564952789">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80">
      <w:bodyDiv w:val="1"/>
      <w:marLeft w:val="0"/>
      <w:marRight w:val="0"/>
      <w:marTop w:val="0"/>
      <w:marBottom w:val="0"/>
      <w:divBdr>
        <w:top w:val="none" w:sz="0" w:space="0" w:color="auto"/>
        <w:left w:val="none" w:sz="0" w:space="0" w:color="auto"/>
        <w:bottom w:val="none" w:sz="0" w:space="0" w:color="auto"/>
        <w:right w:val="none" w:sz="0" w:space="0" w:color="auto"/>
      </w:divBdr>
      <w:divsChild>
        <w:div w:id="1844515623">
          <w:marLeft w:val="480"/>
          <w:marRight w:val="0"/>
          <w:marTop w:val="0"/>
          <w:marBottom w:val="0"/>
          <w:divBdr>
            <w:top w:val="none" w:sz="0" w:space="0" w:color="auto"/>
            <w:left w:val="none" w:sz="0" w:space="0" w:color="auto"/>
            <w:bottom w:val="none" w:sz="0" w:space="0" w:color="auto"/>
            <w:right w:val="none" w:sz="0" w:space="0" w:color="auto"/>
          </w:divBdr>
        </w:div>
        <w:div w:id="6566794">
          <w:marLeft w:val="480"/>
          <w:marRight w:val="0"/>
          <w:marTop w:val="0"/>
          <w:marBottom w:val="0"/>
          <w:divBdr>
            <w:top w:val="none" w:sz="0" w:space="0" w:color="auto"/>
            <w:left w:val="none" w:sz="0" w:space="0" w:color="auto"/>
            <w:bottom w:val="none" w:sz="0" w:space="0" w:color="auto"/>
            <w:right w:val="none" w:sz="0" w:space="0" w:color="auto"/>
          </w:divBdr>
        </w:div>
        <w:div w:id="1137183901">
          <w:marLeft w:val="480"/>
          <w:marRight w:val="0"/>
          <w:marTop w:val="0"/>
          <w:marBottom w:val="0"/>
          <w:divBdr>
            <w:top w:val="none" w:sz="0" w:space="0" w:color="auto"/>
            <w:left w:val="none" w:sz="0" w:space="0" w:color="auto"/>
            <w:bottom w:val="none" w:sz="0" w:space="0" w:color="auto"/>
            <w:right w:val="none" w:sz="0" w:space="0" w:color="auto"/>
          </w:divBdr>
        </w:div>
        <w:div w:id="1808624493">
          <w:marLeft w:val="480"/>
          <w:marRight w:val="0"/>
          <w:marTop w:val="0"/>
          <w:marBottom w:val="0"/>
          <w:divBdr>
            <w:top w:val="none" w:sz="0" w:space="0" w:color="auto"/>
            <w:left w:val="none" w:sz="0" w:space="0" w:color="auto"/>
            <w:bottom w:val="none" w:sz="0" w:space="0" w:color="auto"/>
            <w:right w:val="none" w:sz="0" w:space="0" w:color="auto"/>
          </w:divBdr>
        </w:div>
        <w:div w:id="1856188926">
          <w:marLeft w:val="480"/>
          <w:marRight w:val="0"/>
          <w:marTop w:val="0"/>
          <w:marBottom w:val="0"/>
          <w:divBdr>
            <w:top w:val="none" w:sz="0" w:space="0" w:color="auto"/>
            <w:left w:val="none" w:sz="0" w:space="0" w:color="auto"/>
            <w:bottom w:val="none" w:sz="0" w:space="0" w:color="auto"/>
            <w:right w:val="none" w:sz="0" w:space="0" w:color="auto"/>
          </w:divBdr>
        </w:div>
        <w:div w:id="602684155">
          <w:marLeft w:val="480"/>
          <w:marRight w:val="0"/>
          <w:marTop w:val="0"/>
          <w:marBottom w:val="0"/>
          <w:divBdr>
            <w:top w:val="none" w:sz="0" w:space="0" w:color="auto"/>
            <w:left w:val="none" w:sz="0" w:space="0" w:color="auto"/>
            <w:bottom w:val="none" w:sz="0" w:space="0" w:color="auto"/>
            <w:right w:val="none" w:sz="0" w:space="0" w:color="auto"/>
          </w:divBdr>
        </w:div>
        <w:div w:id="1749418593">
          <w:marLeft w:val="480"/>
          <w:marRight w:val="0"/>
          <w:marTop w:val="0"/>
          <w:marBottom w:val="0"/>
          <w:divBdr>
            <w:top w:val="none" w:sz="0" w:space="0" w:color="auto"/>
            <w:left w:val="none" w:sz="0" w:space="0" w:color="auto"/>
            <w:bottom w:val="none" w:sz="0" w:space="0" w:color="auto"/>
            <w:right w:val="none" w:sz="0" w:space="0" w:color="auto"/>
          </w:divBdr>
        </w:div>
        <w:div w:id="135725317">
          <w:marLeft w:val="480"/>
          <w:marRight w:val="0"/>
          <w:marTop w:val="0"/>
          <w:marBottom w:val="0"/>
          <w:divBdr>
            <w:top w:val="none" w:sz="0" w:space="0" w:color="auto"/>
            <w:left w:val="none" w:sz="0" w:space="0" w:color="auto"/>
            <w:bottom w:val="none" w:sz="0" w:space="0" w:color="auto"/>
            <w:right w:val="none" w:sz="0" w:space="0" w:color="auto"/>
          </w:divBdr>
        </w:div>
      </w:divsChild>
    </w:div>
    <w:div w:id="1055007181">
      <w:bodyDiv w:val="1"/>
      <w:marLeft w:val="0"/>
      <w:marRight w:val="0"/>
      <w:marTop w:val="0"/>
      <w:marBottom w:val="0"/>
      <w:divBdr>
        <w:top w:val="none" w:sz="0" w:space="0" w:color="auto"/>
        <w:left w:val="none" w:sz="0" w:space="0" w:color="auto"/>
        <w:bottom w:val="none" w:sz="0" w:space="0" w:color="auto"/>
        <w:right w:val="none" w:sz="0" w:space="0" w:color="auto"/>
      </w:divBdr>
      <w:divsChild>
        <w:div w:id="640505448">
          <w:marLeft w:val="480"/>
          <w:marRight w:val="0"/>
          <w:marTop w:val="0"/>
          <w:marBottom w:val="0"/>
          <w:divBdr>
            <w:top w:val="none" w:sz="0" w:space="0" w:color="auto"/>
            <w:left w:val="none" w:sz="0" w:space="0" w:color="auto"/>
            <w:bottom w:val="none" w:sz="0" w:space="0" w:color="auto"/>
            <w:right w:val="none" w:sz="0" w:space="0" w:color="auto"/>
          </w:divBdr>
        </w:div>
        <w:div w:id="347945190">
          <w:marLeft w:val="480"/>
          <w:marRight w:val="0"/>
          <w:marTop w:val="0"/>
          <w:marBottom w:val="0"/>
          <w:divBdr>
            <w:top w:val="none" w:sz="0" w:space="0" w:color="auto"/>
            <w:left w:val="none" w:sz="0" w:space="0" w:color="auto"/>
            <w:bottom w:val="none" w:sz="0" w:space="0" w:color="auto"/>
            <w:right w:val="none" w:sz="0" w:space="0" w:color="auto"/>
          </w:divBdr>
        </w:div>
        <w:div w:id="1548834184">
          <w:marLeft w:val="480"/>
          <w:marRight w:val="0"/>
          <w:marTop w:val="0"/>
          <w:marBottom w:val="0"/>
          <w:divBdr>
            <w:top w:val="none" w:sz="0" w:space="0" w:color="auto"/>
            <w:left w:val="none" w:sz="0" w:space="0" w:color="auto"/>
            <w:bottom w:val="none" w:sz="0" w:space="0" w:color="auto"/>
            <w:right w:val="none" w:sz="0" w:space="0" w:color="auto"/>
          </w:divBdr>
        </w:div>
        <w:div w:id="1314869506">
          <w:marLeft w:val="480"/>
          <w:marRight w:val="0"/>
          <w:marTop w:val="0"/>
          <w:marBottom w:val="0"/>
          <w:divBdr>
            <w:top w:val="none" w:sz="0" w:space="0" w:color="auto"/>
            <w:left w:val="none" w:sz="0" w:space="0" w:color="auto"/>
            <w:bottom w:val="none" w:sz="0" w:space="0" w:color="auto"/>
            <w:right w:val="none" w:sz="0" w:space="0" w:color="auto"/>
          </w:divBdr>
        </w:div>
        <w:div w:id="168642641">
          <w:marLeft w:val="480"/>
          <w:marRight w:val="0"/>
          <w:marTop w:val="0"/>
          <w:marBottom w:val="0"/>
          <w:divBdr>
            <w:top w:val="none" w:sz="0" w:space="0" w:color="auto"/>
            <w:left w:val="none" w:sz="0" w:space="0" w:color="auto"/>
            <w:bottom w:val="none" w:sz="0" w:space="0" w:color="auto"/>
            <w:right w:val="none" w:sz="0" w:space="0" w:color="auto"/>
          </w:divBdr>
        </w:div>
        <w:div w:id="1766807645">
          <w:marLeft w:val="480"/>
          <w:marRight w:val="0"/>
          <w:marTop w:val="0"/>
          <w:marBottom w:val="0"/>
          <w:divBdr>
            <w:top w:val="none" w:sz="0" w:space="0" w:color="auto"/>
            <w:left w:val="none" w:sz="0" w:space="0" w:color="auto"/>
            <w:bottom w:val="none" w:sz="0" w:space="0" w:color="auto"/>
            <w:right w:val="none" w:sz="0" w:space="0" w:color="auto"/>
          </w:divBdr>
        </w:div>
        <w:div w:id="1423336516">
          <w:marLeft w:val="480"/>
          <w:marRight w:val="0"/>
          <w:marTop w:val="0"/>
          <w:marBottom w:val="0"/>
          <w:divBdr>
            <w:top w:val="none" w:sz="0" w:space="0" w:color="auto"/>
            <w:left w:val="none" w:sz="0" w:space="0" w:color="auto"/>
            <w:bottom w:val="none" w:sz="0" w:space="0" w:color="auto"/>
            <w:right w:val="none" w:sz="0" w:space="0" w:color="auto"/>
          </w:divBdr>
        </w:div>
        <w:div w:id="1638533263">
          <w:marLeft w:val="480"/>
          <w:marRight w:val="0"/>
          <w:marTop w:val="0"/>
          <w:marBottom w:val="0"/>
          <w:divBdr>
            <w:top w:val="none" w:sz="0" w:space="0" w:color="auto"/>
            <w:left w:val="none" w:sz="0" w:space="0" w:color="auto"/>
            <w:bottom w:val="none" w:sz="0" w:space="0" w:color="auto"/>
            <w:right w:val="none" w:sz="0" w:space="0" w:color="auto"/>
          </w:divBdr>
        </w:div>
        <w:div w:id="984972107">
          <w:marLeft w:val="480"/>
          <w:marRight w:val="0"/>
          <w:marTop w:val="0"/>
          <w:marBottom w:val="0"/>
          <w:divBdr>
            <w:top w:val="none" w:sz="0" w:space="0" w:color="auto"/>
            <w:left w:val="none" w:sz="0" w:space="0" w:color="auto"/>
            <w:bottom w:val="none" w:sz="0" w:space="0" w:color="auto"/>
            <w:right w:val="none" w:sz="0" w:space="0" w:color="auto"/>
          </w:divBdr>
        </w:div>
        <w:div w:id="760757730">
          <w:marLeft w:val="480"/>
          <w:marRight w:val="0"/>
          <w:marTop w:val="0"/>
          <w:marBottom w:val="0"/>
          <w:divBdr>
            <w:top w:val="none" w:sz="0" w:space="0" w:color="auto"/>
            <w:left w:val="none" w:sz="0" w:space="0" w:color="auto"/>
            <w:bottom w:val="none" w:sz="0" w:space="0" w:color="auto"/>
            <w:right w:val="none" w:sz="0" w:space="0" w:color="auto"/>
          </w:divBdr>
        </w:div>
      </w:divsChild>
    </w:div>
    <w:div w:id="1071734851">
      <w:bodyDiv w:val="1"/>
      <w:marLeft w:val="0"/>
      <w:marRight w:val="0"/>
      <w:marTop w:val="0"/>
      <w:marBottom w:val="0"/>
      <w:divBdr>
        <w:top w:val="none" w:sz="0" w:space="0" w:color="auto"/>
        <w:left w:val="none" w:sz="0" w:space="0" w:color="auto"/>
        <w:bottom w:val="none" w:sz="0" w:space="0" w:color="auto"/>
        <w:right w:val="none" w:sz="0" w:space="0" w:color="auto"/>
      </w:divBdr>
      <w:divsChild>
        <w:div w:id="295380940">
          <w:marLeft w:val="480"/>
          <w:marRight w:val="0"/>
          <w:marTop w:val="0"/>
          <w:marBottom w:val="0"/>
          <w:divBdr>
            <w:top w:val="none" w:sz="0" w:space="0" w:color="auto"/>
            <w:left w:val="none" w:sz="0" w:space="0" w:color="auto"/>
            <w:bottom w:val="none" w:sz="0" w:space="0" w:color="auto"/>
            <w:right w:val="none" w:sz="0" w:space="0" w:color="auto"/>
          </w:divBdr>
        </w:div>
        <w:div w:id="1744991453">
          <w:marLeft w:val="480"/>
          <w:marRight w:val="0"/>
          <w:marTop w:val="0"/>
          <w:marBottom w:val="0"/>
          <w:divBdr>
            <w:top w:val="none" w:sz="0" w:space="0" w:color="auto"/>
            <w:left w:val="none" w:sz="0" w:space="0" w:color="auto"/>
            <w:bottom w:val="none" w:sz="0" w:space="0" w:color="auto"/>
            <w:right w:val="none" w:sz="0" w:space="0" w:color="auto"/>
          </w:divBdr>
        </w:div>
        <w:div w:id="1661693864">
          <w:marLeft w:val="480"/>
          <w:marRight w:val="0"/>
          <w:marTop w:val="0"/>
          <w:marBottom w:val="0"/>
          <w:divBdr>
            <w:top w:val="none" w:sz="0" w:space="0" w:color="auto"/>
            <w:left w:val="none" w:sz="0" w:space="0" w:color="auto"/>
            <w:bottom w:val="none" w:sz="0" w:space="0" w:color="auto"/>
            <w:right w:val="none" w:sz="0" w:space="0" w:color="auto"/>
          </w:divBdr>
        </w:div>
        <w:div w:id="185212232">
          <w:marLeft w:val="480"/>
          <w:marRight w:val="0"/>
          <w:marTop w:val="0"/>
          <w:marBottom w:val="0"/>
          <w:divBdr>
            <w:top w:val="none" w:sz="0" w:space="0" w:color="auto"/>
            <w:left w:val="none" w:sz="0" w:space="0" w:color="auto"/>
            <w:bottom w:val="none" w:sz="0" w:space="0" w:color="auto"/>
            <w:right w:val="none" w:sz="0" w:space="0" w:color="auto"/>
          </w:divBdr>
        </w:div>
        <w:div w:id="1642686699">
          <w:marLeft w:val="480"/>
          <w:marRight w:val="0"/>
          <w:marTop w:val="0"/>
          <w:marBottom w:val="0"/>
          <w:divBdr>
            <w:top w:val="none" w:sz="0" w:space="0" w:color="auto"/>
            <w:left w:val="none" w:sz="0" w:space="0" w:color="auto"/>
            <w:bottom w:val="none" w:sz="0" w:space="0" w:color="auto"/>
            <w:right w:val="none" w:sz="0" w:space="0" w:color="auto"/>
          </w:divBdr>
        </w:div>
        <w:div w:id="1771117390">
          <w:marLeft w:val="480"/>
          <w:marRight w:val="0"/>
          <w:marTop w:val="0"/>
          <w:marBottom w:val="0"/>
          <w:divBdr>
            <w:top w:val="none" w:sz="0" w:space="0" w:color="auto"/>
            <w:left w:val="none" w:sz="0" w:space="0" w:color="auto"/>
            <w:bottom w:val="none" w:sz="0" w:space="0" w:color="auto"/>
            <w:right w:val="none" w:sz="0" w:space="0" w:color="auto"/>
          </w:divBdr>
        </w:div>
        <w:div w:id="1072462903">
          <w:marLeft w:val="480"/>
          <w:marRight w:val="0"/>
          <w:marTop w:val="0"/>
          <w:marBottom w:val="0"/>
          <w:divBdr>
            <w:top w:val="none" w:sz="0" w:space="0" w:color="auto"/>
            <w:left w:val="none" w:sz="0" w:space="0" w:color="auto"/>
            <w:bottom w:val="none" w:sz="0" w:space="0" w:color="auto"/>
            <w:right w:val="none" w:sz="0" w:space="0" w:color="auto"/>
          </w:divBdr>
        </w:div>
        <w:div w:id="1806699769">
          <w:marLeft w:val="480"/>
          <w:marRight w:val="0"/>
          <w:marTop w:val="0"/>
          <w:marBottom w:val="0"/>
          <w:divBdr>
            <w:top w:val="none" w:sz="0" w:space="0" w:color="auto"/>
            <w:left w:val="none" w:sz="0" w:space="0" w:color="auto"/>
            <w:bottom w:val="none" w:sz="0" w:space="0" w:color="auto"/>
            <w:right w:val="none" w:sz="0" w:space="0" w:color="auto"/>
          </w:divBdr>
        </w:div>
        <w:div w:id="76051934">
          <w:marLeft w:val="480"/>
          <w:marRight w:val="0"/>
          <w:marTop w:val="0"/>
          <w:marBottom w:val="0"/>
          <w:divBdr>
            <w:top w:val="none" w:sz="0" w:space="0" w:color="auto"/>
            <w:left w:val="none" w:sz="0" w:space="0" w:color="auto"/>
            <w:bottom w:val="none" w:sz="0" w:space="0" w:color="auto"/>
            <w:right w:val="none" w:sz="0" w:space="0" w:color="auto"/>
          </w:divBdr>
        </w:div>
      </w:divsChild>
    </w:div>
    <w:div w:id="1116363262">
      <w:bodyDiv w:val="1"/>
      <w:marLeft w:val="0"/>
      <w:marRight w:val="0"/>
      <w:marTop w:val="0"/>
      <w:marBottom w:val="0"/>
      <w:divBdr>
        <w:top w:val="none" w:sz="0" w:space="0" w:color="auto"/>
        <w:left w:val="none" w:sz="0" w:space="0" w:color="auto"/>
        <w:bottom w:val="none" w:sz="0" w:space="0" w:color="auto"/>
        <w:right w:val="none" w:sz="0" w:space="0" w:color="auto"/>
      </w:divBdr>
      <w:divsChild>
        <w:div w:id="1553494657">
          <w:marLeft w:val="480"/>
          <w:marRight w:val="0"/>
          <w:marTop w:val="0"/>
          <w:marBottom w:val="0"/>
          <w:divBdr>
            <w:top w:val="none" w:sz="0" w:space="0" w:color="auto"/>
            <w:left w:val="none" w:sz="0" w:space="0" w:color="auto"/>
            <w:bottom w:val="none" w:sz="0" w:space="0" w:color="auto"/>
            <w:right w:val="none" w:sz="0" w:space="0" w:color="auto"/>
          </w:divBdr>
        </w:div>
        <w:div w:id="348070215">
          <w:marLeft w:val="480"/>
          <w:marRight w:val="0"/>
          <w:marTop w:val="0"/>
          <w:marBottom w:val="0"/>
          <w:divBdr>
            <w:top w:val="none" w:sz="0" w:space="0" w:color="auto"/>
            <w:left w:val="none" w:sz="0" w:space="0" w:color="auto"/>
            <w:bottom w:val="none" w:sz="0" w:space="0" w:color="auto"/>
            <w:right w:val="none" w:sz="0" w:space="0" w:color="auto"/>
          </w:divBdr>
        </w:div>
        <w:div w:id="1127089967">
          <w:marLeft w:val="480"/>
          <w:marRight w:val="0"/>
          <w:marTop w:val="0"/>
          <w:marBottom w:val="0"/>
          <w:divBdr>
            <w:top w:val="none" w:sz="0" w:space="0" w:color="auto"/>
            <w:left w:val="none" w:sz="0" w:space="0" w:color="auto"/>
            <w:bottom w:val="none" w:sz="0" w:space="0" w:color="auto"/>
            <w:right w:val="none" w:sz="0" w:space="0" w:color="auto"/>
          </w:divBdr>
        </w:div>
        <w:div w:id="278418410">
          <w:marLeft w:val="480"/>
          <w:marRight w:val="0"/>
          <w:marTop w:val="0"/>
          <w:marBottom w:val="0"/>
          <w:divBdr>
            <w:top w:val="none" w:sz="0" w:space="0" w:color="auto"/>
            <w:left w:val="none" w:sz="0" w:space="0" w:color="auto"/>
            <w:bottom w:val="none" w:sz="0" w:space="0" w:color="auto"/>
            <w:right w:val="none" w:sz="0" w:space="0" w:color="auto"/>
          </w:divBdr>
        </w:div>
        <w:div w:id="603421718">
          <w:marLeft w:val="480"/>
          <w:marRight w:val="0"/>
          <w:marTop w:val="0"/>
          <w:marBottom w:val="0"/>
          <w:divBdr>
            <w:top w:val="none" w:sz="0" w:space="0" w:color="auto"/>
            <w:left w:val="none" w:sz="0" w:space="0" w:color="auto"/>
            <w:bottom w:val="none" w:sz="0" w:space="0" w:color="auto"/>
            <w:right w:val="none" w:sz="0" w:space="0" w:color="auto"/>
          </w:divBdr>
        </w:div>
        <w:div w:id="432015253">
          <w:marLeft w:val="480"/>
          <w:marRight w:val="0"/>
          <w:marTop w:val="0"/>
          <w:marBottom w:val="0"/>
          <w:divBdr>
            <w:top w:val="none" w:sz="0" w:space="0" w:color="auto"/>
            <w:left w:val="none" w:sz="0" w:space="0" w:color="auto"/>
            <w:bottom w:val="none" w:sz="0" w:space="0" w:color="auto"/>
            <w:right w:val="none" w:sz="0" w:space="0" w:color="auto"/>
          </w:divBdr>
        </w:div>
        <w:div w:id="2023046178">
          <w:marLeft w:val="480"/>
          <w:marRight w:val="0"/>
          <w:marTop w:val="0"/>
          <w:marBottom w:val="0"/>
          <w:divBdr>
            <w:top w:val="none" w:sz="0" w:space="0" w:color="auto"/>
            <w:left w:val="none" w:sz="0" w:space="0" w:color="auto"/>
            <w:bottom w:val="none" w:sz="0" w:space="0" w:color="auto"/>
            <w:right w:val="none" w:sz="0" w:space="0" w:color="auto"/>
          </w:divBdr>
        </w:div>
        <w:div w:id="981999859">
          <w:marLeft w:val="480"/>
          <w:marRight w:val="0"/>
          <w:marTop w:val="0"/>
          <w:marBottom w:val="0"/>
          <w:divBdr>
            <w:top w:val="none" w:sz="0" w:space="0" w:color="auto"/>
            <w:left w:val="none" w:sz="0" w:space="0" w:color="auto"/>
            <w:bottom w:val="none" w:sz="0" w:space="0" w:color="auto"/>
            <w:right w:val="none" w:sz="0" w:space="0" w:color="auto"/>
          </w:divBdr>
        </w:div>
      </w:divsChild>
    </w:div>
    <w:div w:id="1207061490">
      <w:bodyDiv w:val="1"/>
      <w:marLeft w:val="0"/>
      <w:marRight w:val="0"/>
      <w:marTop w:val="0"/>
      <w:marBottom w:val="0"/>
      <w:divBdr>
        <w:top w:val="none" w:sz="0" w:space="0" w:color="auto"/>
        <w:left w:val="none" w:sz="0" w:space="0" w:color="auto"/>
        <w:bottom w:val="none" w:sz="0" w:space="0" w:color="auto"/>
        <w:right w:val="none" w:sz="0" w:space="0" w:color="auto"/>
      </w:divBdr>
      <w:divsChild>
        <w:div w:id="1275210595">
          <w:marLeft w:val="480"/>
          <w:marRight w:val="0"/>
          <w:marTop w:val="0"/>
          <w:marBottom w:val="0"/>
          <w:divBdr>
            <w:top w:val="none" w:sz="0" w:space="0" w:color="auto"/>
            <w:left w:val="none" w:sz="0" w:space="0" w:color="auto"/>
            <w:bottom w:val="none" w:sz="0" w:space="0" w:color="auto"/>
            <w:right w:val="none" w:sz="0" w:space="0" w:color="auto"/>
          </w:divBdr>
        </w:div>
      </w:divsChild>
    </w:div>
    <w:div w:id="1325430582">
      <w:bodyDiv w:val="1"/>
      <w:marLeft w:val="0"/>
      <w:marRight w:val="0"/>
      <w:marTop w:val="0"/>
      <w:marBottom w:val="0"/>
      <w:divBdr>
        <w:top w:val="none" w:sz="0" w:space="0" w:color="auto"/>
        <w:left w:val="none" w:sz="0" w:space="0" w:color="auto"/>
        <w:bottom w:val="none" w:sz="0" w:space="0" w:color="auto"/>
        <w:right w:val="none" w:sz="0" w:space="0" w:color="auto"/>
      </w:divBdr>
      <w:divsChild>
        <w:div w:id="27603639">
          <w:marLeft w:val="480"/>
          <w:marRight w:val="0"/>
          <w:marTop w:val="0"/>
          <w:marBottom w:val="0"/>
          <w:divBdr>
            <w:top w:val="none" w:sz="0" w:space="0" w:color="auto"/>
            <w:left w:val="none" w:sz="0" w:space="0" w:color="auto"/>
            <w:bottom w:val="none" w:sz="0" w:space="0" w:color="auto"/>
            <w:right w:val="none" w:sz="0" w:space="0" w:color="auto"/>
          </w:divBdr>
        </w:div>
        <w:div w:id="2630704">
          <w:marLeft w:val="480"/>
          <w:marRight w:val="0"/>
          <w:marTop w:val="0"/>
          <w:marBottom w:val="0"/>
          <w:divBdr>
            <w:top w:val="none" w:sz="0" w:space="0" w:color="auto"/>
            <w:left w:val="none" w:sz="0" w:space="0" w:color="auto"/>
            <w:bottom w:val="none" w:sz="0" w:space="0" w:color="auto"/>
            <w:right w:val="none" w:sz="0" w:space="0" w:color="auto"/>
          </w:divBdr>
        </w:div>
        <w:div w:id="1524592965">
          <w:marLeft w:val="480"/>
          <w:marRight w:val="0"/>
          <w:marTop w:val="0"/>
          <w:marBottom w:val="0"/>
          <w:divBdr>
            <w:top w:val="none" w:sz="0" w:space="0" w:color="auto"/>
            <w:left w:val="none" w:sz="0" w:space="0" w:color="auto"/>
            <w:bottom w:val="none" w:sz="0" w:space="0" w:color="auto"/>
            <w:right w:val="none" w:sz="0" w:space="0" w:color="auto"/>
          </w:divBdr>
        </w:div>
        <w:div w:id="1725908336">
          <w:marLeft w:val="480"/>
          <w:marRight w:val="0"/>
          <w:marTop w:val="0"/>
          <w:marBottom w:val="0"/>
          <w:divBdr>
            <w:top w:val="none" w:sz="0" w:space="0" w:color="auto"/>
            <w:left w:val="none" w:sz="0" w:space="0" w:color="auto"/>
            <w:bottom w:val="none" w:sz="0" w:space="0" w:color="auto"/>
            <w:right w:val="none" w:sz="0" w:space="0" w:color="auto"/>
          </w:divBdr>
        </w:div>
        <w:div w:id="2065912335">
          <w:marLeft w:val="480"/>
          <w:marRight w:val="0"/>
          <w:marTop w:val="0"/>
          <w:marBottom w:val="0"/>
          <w:divBdr>
            <w:top w:val="none" w:sz="0" w:space="0" w:color="auto"/>
            <w:left w:val="none" w:sz="0" w:space="0" w:color="auto"/>
            <w:bottom w:val="none" w:sz="0" w:space="0" w:color="auto"/>
            <w:right w:val="none" w:sz="0" w:space="0" w:color="auto"/>
          </w:divBdr>
        </w:div>
        <w:div w:id="75323193">
          <w:marLeft w:val="480"/>
          <w:marRight w:val="0"/>
          <w:marTop w:val="0"/>
          <w:marBottom w:val="0"/>
          <w:divBdr>
            <w:top w:val="none" w:sz="0" w:space="0" w:color="auto"/>
            <w:left w:val="none" w:sz="0" w:space="0" w:color="auto"/>
            <w:bottom w:val="none" w:sz="0" w:space="0" w:color="auto"/>
            <w:right w:val="none" w:sz="0" w:space="0" w:color="auto"/>
          </w:divBdr>
        </w:div>
      </w:divsChild>
    </w:div>
    <w:div w:id="1335524776">
      <w:bodyDiv w:val="1"/>
      <w:marLeft w:val="0"/>
      <w:marRight w:val="0"/>
      <w:marTop w:val="0"/>
      <w:marBottom w:val="0"/>
      <w:divBdr>
        <w:top w:val="none" w:sz="0" w:space="0" w:color="auto"/>
        <w:left w:val="none" w:sz="0" w:space="0" w:color="auto"/>
        <w:bottom w:val="none" w:sz="0" w:space="0" w:color="auto"/>
        <w:right w:val="none" w:sz="0" w:space="0" w:color="auto"/>
      </w:divBdr>
      <w:divsChild>
        <w:div w:id="1793551319">
          <w:marLeft w:val="480"/>
          <w:marRight w:val="0"/>
          <w:marTop w:val="0"/>
          <w:marBottom w:val="0"/>
          <w:divBdr>
            <w:top w:val="none" w:sz="0" w:space="0" w:color="auto"/>
            <w:left w:val="none" w:sz="0" w:space="0" w:color="auto"/>
            <w:bottom w:val="none" w:sz="0" w:space="0" w:color="auto"/>
            <w:right w:val="none" w:sz="0" w:space="0" w:color="auto"/>
          </w:divBdr>
        </w:div>
        <w:div w:id="1360545408">
          <w:marLeft w:val="480"/>
          <w:marRight w:val="0"/>
          <w:marTop w:val="0"/>
          <w:marBottom w:val="0"/>
          <w:divBdr>
            <w:top w:val="none" w:sz="0" w:space="0" w:color="auto"/>
            <w:left w:val="none" w:sz="0" w:space="0" w:color="auto"/>
            <w:bottom w:val="none" w:sz="0" w:space="0" w:color="auto"/>
            <w:right w:val="none" w:sz="0" w:space="0" w:color="auto"/>
          </w:divBdr>
        </w:div>
        <w:div w:id="658850878">
          <w:marLeft w:val="480"/>
          <w:marRight w:val="0"/>
          <w:marTop w:val="0"/>
          <w:marBottom w:val="0"/>
          <w:divBdr>
            <w:top w:val="none" w:sz="0" w:space="0" w:color="auto"/>
            <w:left w:val="none" w:sz="0" w:space="0" w:color="auto"/>
            <w:bottom w:val="none" w:sz="0" w:space="0" w:color="auto"/>
            <w:right w:val="none" w:sz="0" w:space="0" w:color="auto"/>
          </w:divBdr>
        </w:div>
        <w:div w:id="1347172460">
          <w:marLeft w:val="480"/>
          <w:marRight w:val="0"/>
          <w:marTop w:val="0"/>
          <w:marBottom w:val="0"/>
          <w:divBdr>
            <w:top w:val="none" w:sz="0" w:space="0" w:color="auto"/>
            <w:left w:val="none" w:sz="0" w:space="0" w:color="auto"/>
            <w:bottom w:val="none" w:sz="0" w:space="0" w:color="auto"/>
            <w:right w:val="none" w:sz="0" w:space="0" w:color="auto"/>
          </w:divBdr>
        </w:div>
        <w:div w:id="36246544">
          <w:marLeft w:val="480"/>
          <w:marRight w:val="0"/>
          <w:marTop w:val="0"/>
          <w:marBottom w:val="0"/>
          <w:divBdr>
            <w:top w:val="none" w:sz="0" w:space="0" w:color="auto"/>
            <w:left w:val="none" w:sz="0" w:space="0" w:color="auto"/>
            <w:bottom w:val="none" w:sz="0" w:space="0" w:color="auto"/>
            <w:right w:val="none" w:sz="0" w:space="0" w:color="auto"/>
          </w:divBdr>
        </w:div>
        <w:div w:id="1107045002">
          <w:marLeft w:val="480"/>
          <w:marRight w:val="0"/>
          <w:marTop w:val="0"/>
          <w:marBottom w:val="0"/>
          <w:divBdr>
            <w:top w:val="none" w:sz="0" w:space="0" w:color="auto"/>
            <w:left w:val="none" w:sz="0" w:space="0" w:color="auto"/>
            <w:bottom w:val="none" w:sz="0" w:space="0" w:color="auto"/>
            <w:right w:val="none" w:sz="0" w:space="0" w:color="auto"/>
          </w:divBdr>
        </w:div>
        <w:div w:id="1262686900">
          <w:marLeft w:val="480"/>
          <w:marRight w:val="0"/>
          <w:marTop w:val="0"/>
          <w:marBottom w:val="0"/>
          <w:divBdr>
            <w:top w:val="none" w:sz="0" w:space="0" w:color="auto"/>
            <w:left w:val="none" w:sz="0" w:space="0" w:color="auto"/>
            <w:bottom w:val="none" w:sz="0" w:space="0" w:color="auto"/>
            <w:right w:val="none" w:sz="0" w:space="0" w:color="auto"/>
          </w:divBdr>
        </w:div>
        <w:div w:id="749037601">
          <w:marLeft w:val="480"/>
          <w:marRight w:val="0"/>
          <w:marTop w:val="0"/>
          <w:marBottom w:val="0"/>
          <w:divBdr>
            <w:top w:val="none" w:sz="0" w:space="0" w:color="auto"/>
            <w:left w:val="none" w:sz="0" w:space="0" w:color="auto"/>
            <w:bottom w:val="none" w:sz="0" w:space="0" w:color="auto"/>
            <w:right w:val="none" w:sz="0" w:space="0" w:color="auto"/>
          </w:divBdr>
        </w:div>
        <w:div w:id="577859534">
          <w:marLeft w:val="480"/>
          <w:marRight w:val="0"/>
          <w:marTop w:val="0"/>
          <w:marBottom w:val="0"/>
          <w:divBdr>
            <w:top w:val="none" w:sz="0" w:space="0" w:color="auto"/>
            <w:left w:val="none" w:sz="0" w:space="0" w:color="auto"/>
            <w:bottom w:val="none" w:sz="0" w:space="0" w:color="auto"/>
            <w:right w:val="none" w:sz="0" w:space="0" w:color="auto"/>
          </w:divBdr>
        </w:div>
        <w:div w:id="1496069840">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99934290">
      <w:bodyDiv w:val="1"/>
      <w:marLeft w:val="0"/>
      <w:marRight w:val="0"/>
      <w:marTop w:val="0"/>
      <w:marBottom w:val="0"/>
      <w:divBdr>
        <w:top w:val="none" w:sz="0" w:space="0" w:color="auto"/>
        <w:left w:val="none" w:sz="0" w:space="0" w:color="auto"/>
        <w:bottom w:val="none" w:sz="0" w:space="0" w:color="auto"/>
        <w:right w:val="none" w:sz="0" w:space="0" w:color="auto"/>
      </w:divBdr>
      <w:divsChild>
        <w:div w:id="268897547">
          <w:marLeft w:val="480"/>
          <w:marRight w:val="0"/>
          <w:marTop w:val="0"/>
          <w:marBottom w:val="0"/>
          <w:divBdr>
            <w:top w:val="none" w:sz="0" w:space="0" w:color="auto"/>
            <w:left w:val="none" w:sz="0" w:space="0" w:color="auto"/>
            <w:bottom w:val="none" w:sz="0" w:space="0" w:color="auto"/>
            <w:right w:val="none" w:sz="0" w:space="0" w:color="auto"/>
          </w:divBdr>
        </w:div>
      </w:divsChild>
    </w:div>
    <w:div w:id="1414818557">
      <w:bodyDiv w:val="1"/>
      <w:marLeft w:val="0"/>
      <w:marRight w:val="0"/>
      <w:marTop w:val="0"/>
      <w:marBottom w:val="0"/>
      <w:divBdr>
        <w:top w:val="none" w:sz="0" w:space="0" w:color="auto"/>
        <w:left w:val="none" w:sz="0" w:space="0" w:color="auto"/>
        <w:bottom w:val="none" w:sz="0" w:space="0" w:color="auto"/>
        <w:right w:val="none" w:sz="0" w:space="0" w:color="auto"/>
      </w:divBdr>
      <w:divsChild>
        <w:div w:id="1621064586">
          <w:marLeft w:val="480"/>
          <w:marRight w:val="0"/>
          <w:marTop w:val="0"/>
          <w:marBottom w:val="0"/>
          <w:divBdr>
            <w:top w:val="none" w:sz="0" w:space="0" w:color="auto"/>
            <w:left w:val="none" w:sz="0" w:space="0" w:color="auto"/>
            <w:bottom w:val="none" w:sz="0" w:space="0" w:color="auto"/>
            <w:right w:val="none" w:sz="0" w:space="0" w:color="auto"/>
          </w:divBdr>
        </w:div>
        <w:div w:id="2007440276">
          <w:marLeft w:val="480"/>
          <w:marRight w:val="0"/>
          <w:marTop w:val="0"/>
          <w:marBottom w:val="0"/>
          <w:divBdr>
            <w:top w:val="none" w:sz="0" w:space="0" w:color="auto"/>
            <w:left w:val="none" w:sz="0" w:space="0" w:color="auto"/>
            <w:bottom w:val="none" w:sz="0" w:space="0" w:color="auto"/>
            <w:right w:val="none" w:sz="0" w:space="0" w:color="auto"/>
          </w:divBdr>
        </w:div>
        <w:div w:id="1322008212">
          <w:marLeft w:val="480"/>
          <w:marRight w:val="0"/>
          <w:marTop w:val="0"/>
          <w:marBottom w:val="0"/>
          <w:divBdr>
            <w:top w:val="none" w:sz="0" w:space="0" w:color="auto"/>
            <w:left w:val="none" w:sz="0" w:space="0" w:color="auto"/>
            <w:bottom w:val="none" w:sz="0" w:space="0" w:color="auto"/>
            <w:right w:val="none" w:sz="0" w:space="0" w:color="auto"/>
          </w:divBdr>
        </w:div>
        <w:div w:id="1664504260">
          <w:marLeft w:val="480"/>
          <w:marRight w:val="0"/>
          <w:marTop w:val="0"/>
          <w:marBottom w:val="0"/>
          <w:divBdr>
            <w:top w:val="none" w:sz="0" w:space="0" w:color="auto"/>
            <w:left w:val="none" w:sz="0" w:space="0" w:color="auto"/>
            <w:bottom w:val="none" w:sz="0" w:space="0" w:color="auto"/>
            <w:right w:val="none" w:sz="0" w:space="0" w:color="auto"/>
          </w:divBdr>
        </w:div>
        <w:div w:id="224683341">
          <w:marLeft w:val="480"/>
          <w:marRight w:val="0"/>
          <w:marTop w:val="0"/>
          <w:marBottom w:val="0"/>
          <w:divBdr>
            <w:top w:val="none" w:sz="0" w:space="0" w:color="auto"/>
            <w:left w:val="none" w:sz="0" w:space="0" w:color="auto"/>
            <w:bottom w:val="none" w:sz="0" w:space="0" w:color="auto"/>
            <w:right w:val="none" w:sz="0" w:space="0" w:color="auto"/>
          </w:divBdr>
        </w:div>
        <w:div w:id="1261136629">
          <w:marLeft w:val="480"/>
          <w:marRight w:val="0"/>
          <w:marTop w:val="0"/>
          <w:marBottom w:val="0"/>
          <w:divBdr>
            <w:top w:val="none" w:sz="0" w:space="0" w:color="auto"/>
            <w:left w:val="none" w:sz="0" w:space="0" w:color="auto"/>
            <w:bottom w:val="none" w:sz="0" w:space="0" w:color="auto"/>
            <w:right w:val="none" w:sz="0" w:space="0" w:color="auto"/>
          </w:divBdr>
        </w:div>
        <w:div w:id="499199444">
          <w:marLeft w:val="480"/>
          <w:marRight w:val="0"/>
          <w:marTop w:val="0"/>
          <w:marBottom w:val="0"/>
          <w:divBdr>
            <w:top w:val="none" w:sz="0" w:space="0" w:color="auto"/>
            <w:left w:val="none" w:sz="0" w:space="0" w:color="auto"/>
            <w:bottom w:val="none" w:sz="0" w:space="0" w:color="auto"/>
            <w:right w:val="none" w:sz="0" w:space="0" w:color="auto"/>
          </w:divBdr>
        </w:div>
        <w:div w:id="915822308">
          <w:marLeft w:val="480"/>
          <w:marRight w:val="0"/>
          <w:marTop w:val="0"/>
          <w:marBottom w:val="0"/>
          <w:divBdr>
            <w:top w:val="none" w:sz="0" w:space="0" w:color="auto"/>
            <w:left w:val="none" w:sz="0" w:space="0" w:color="auto"/>
            <w:bottom w:val="none" w:sz="0" w:space="0" w:color="auto"/>
            <w:right w:val="none" w:sz="0" w:space="0" w:color="auto"/>
          </w:divBdr>
        </w:div>
        <w:div w:id="1006636826">
          <w:marLeft w:val="480"/>
          <w:marRight w:val="0"/>
          <w:marTop w:val="0"/>
          <w:marBottom w:val="0"/>
          <w:divBdr>
            <w:top w:val="none" w:sz="0" w:space="0" w:color="auto"/>
            <w:left w:val="none" w:sz="0" w:space="0" w:color="auto"/>
            <w:bottom w:val="none" w:sz="0" w:space="0" w:color="auto"/>
            <w:right w:val="none" w:sz="0" w:space="0" w:color="auto"/>
          </w:divBdr>
        </w:div>
        <w:div w:id="1120300173">
          <w:marLeft w:val="480"/>
          <w:marRight w:val="0"/>
          <w:marTop w:val="0"/>
          <w:marBottom w:val="0"/>
          <w:divBdr>
            <w:top w:val="none" w:sz="0" w:space="0" w:color="auto"/>
            <w:left w:val="none" w:sz="0" w:space="0" w:color="auto"/>
            <w:bottom w:val="none" w:sz="0" w:space="0" w:color="auto"/>
            <w:right w:val="none" w:sz="0" w:space="0" w:color="auto"/>
          </w:divBdr>
        </w:div>
        <w:div w:id="1091198117">
          <w:marLeft w:val="480"/>
          <w:marRight w:val="0"/>
          <w:marTop w:val="0"/>
          <w:marBottom w:val="0"/>
          <w:divBdr>
            <w:top w:val="none" w:sz="0" w:space="0" w:color="auto"/>
            <w:left w:val="none" w:sz="0" w:space="0" w:color="auto"/>
            <w:bottom w:val="none" w:sz="0" w:space="0" w:color="auto"/>
            <w:right w:val="none" w:sz="0" w:space="0" w:color="auto"/>
          </w:divBdr>
        </w:div>
      </w:divsChild>
    </w:div>
    <w:div w:id="1423836126">
      <w:bodyDiv w:val="1"/>
      <w:marLeft w:val="0"/>
      <w:marRight w:val="0"/>
      <w:marTop w:val="0"/>
      <w:marBottom w:val="0"/>
      <w:divBdr>
        <w:top w:val="none" w:sz="0" w:space="0" w:color="auto"/>
        <w:left w:val="none" w:sz="0" w:space="0" w:color="auto"/>
        <w:bottom w:val="none" w:sz="0" w:space="0" w:color="auto"/>
        <w:right w:val="none" w:sz="0" w:space="0" w:color="auto"/>
      </w:divBdr>
      <w:divsChild>
        <w:div w:id="226302254">
          <w:marLeft w:val="480"/>
          <w:marRight w:val="0"/>
          <w:marTop w:val="0"/>
          <w:marBottom w:val="0"/>
          <w:divBdr>
            <w:top w:val="none" w:sz="0" w:space="0" w:color="auto"/>
            <w:left w:val="none" w:sz="0" w:space="0" w:color="auto"/>
            <w:bottom w:val="none" w:sz="0" w:space="0" w:color="auto"/>
            <w:right w:val="none" w:sz="0" w:space="0" w:color="auto"/>
          </w:divBdr>
        </w:div>
        <w:div w:id="446046408">
          <w:marLeft w:val="480"/>
          <w:marRight w:val="0"/>
          <w:marTop w:val="0"/>
          <w:marBottom w:val="0"/>
          <w:divBdr>
            <w:top w:val="none" w:sz="0" w:space="0" w:color="auto"/>
            <w:left w:val="none" w:sz="0" w:space="0" w:color="auto"/>
            <w:bottom w:val="none" w:sz="0" w:space="0" w:color="auto"/>
            <w:right w:val="none" w:sz="0" w:space="0" w:color="auto"/>
          </w:divBdr>
        </w:div>
        <w:div w:id="696849613">
          <w:marLeft w:val="480"/>
          <w:marRight w:val="0"/>
          <w:marTop w:val="0"/>
          <w:marBottom w:val="0"/>
          <w:divBdr>
            <w:top w:val="none" w:sz="0" w:space="0" w:color="auto"/>
            <w:left w:val="none" w:sz="0" w:space="0" w:color="auto"/>
            <w:bottom w:val="none" w:sz="0" w:space="0" w:color="auto"/>
            <w:right w:val="none" w:sz="0" w:space="0" w:color="auto"/>
          </w:divBdr>
        </w:div>
        <w:div w:id="724454499">
          <w:marLeft w:val="480"/>
          <w:marRight w:val="0"/>
          <w:marTop w:val="0"/>
          <w:marBottom w:val="0"/>
          <w:divBdr>
            <w:top w:val="none" w:sz="0" w:space="0" w:color="auto"/>
            <w:left w:val="none" w:sz="0" w:space="0" w:color="auto"/>
            <w:bottom w:val="none" w:sz="0" w:space="0" w:color="auto"/>
            <w:right w:val="none" w:sz="0" w:space="0" w:color="auto"/>
          </w:divBdr>
        </w:div>
        <w:div w:id="383793463">
          <w:marLeft w:val="480"/>
          <w:marRight w:val="0"/>
          <w:marTop w:val="0"/>
          <w:marBottom w:val="0"/>
          <w:divBdr>
            <w:top w:val="none" w:sz="0" w:space="0" w:color="auto"/>
            <w:left w:val="none" w:sz="0" w:space="0" w:color="auto"/>
            <w:bottom w:val="none" w:sz="0" w:space="0" w:color="auto"/>
            <w:right w:val="none" w:sz="0" w:space="0" w:color="auto"/>
          </w:divBdr>
        </w:div>
        <w:div w:id="1880435097">
          <w:marLeft w:val="480"/>
          <w:marRight w:val="0"/>
          <w:marTop w:val="0"/>
          <w:marBottom w:val="0"/>
          <w:divBdr>
            <w:top w:val="none" w:sz="0" w:space="0" w:color="auto"/>
            <w:left w:val="none" w:sz="0" w:space="0" w:color="auto"/>
            <w:bottom w:val="none" w:sz="0" w:space="0" w:color="auto"/>
            <w:right w:val="none" w:sz="0" w:space="0" w:color="auto"/>
          </w:divBdr>
        </w:div>
        <w:div w:id="232083687">
          <w:marLeft w:val="480"/>
          <w:marRight w:val="0"/>
          <w:marTop w:val="0"/>
          <w:marBottom w:val="0"/>
          <w:divBdr>
            <w:top w:val="none" w:sz="0" w:space="0" w:color="auto"/>
            <w:left w:val="none" w:sz="0" w:space="0" w:color="auto"/>
            <w:bottom w:val="none" w:sz="0" w:space="0" w:color="auto"/>
            <w:right w:val="none" w:sz="0" w:space="0" w:color="auto"/>
          </w:divBdr>
        </w:div>
        <w:div w:id="104425105">
          <w:marLeft w:val="480"/>
          <w:marRight w:val="0"/>
          <w:marTop w:val="0"/>
          <w:marBottom w:val="0"/>
          <w:divBdr>
            <w:top w:val="none" w:sz="0" w:space="0" w:color="auto"/>
            <w:left w:val="none" w:sz="0" w:space="0" w:color="auto"/>
            <w:bottom w:val="none" w:sz="0" w:space="0" w:color="auto"/>
            <w:right w:val="none" w:sz="0" w:space="0" w:color="auto"/>
          </w:divBdr>
        </w:div>
        <w:div w:id="1279026642">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29232390">
      <w:bodyDiv w:val="1"/>
      <w:marLeft w:val="0"/>
      <w:marRight w:val="0"/>
      <w:marTop w:val="0"/>
      <w:marBottom w:val="0"/>
      <w:divBdr>
        <w:top w:val="none" w:sz="0" w:space="0" w:color="auto"/>
        <w:left w:val="none" w:sz="0" w:space="0" w:color="auto"/>
        <w:bottom w:val="none" w:sz="0" w:space="0" w:color="auto"/>
        <w:right w:val="none" w:sz="0" w:space="0" w:color="auto"/>
      </w:divBdr>
      <w:divsChild>
        <w:div w:id="1742755187">
          <w:marLeft w:val="480"/>
          <w:marRight w:val="0"/>
          <w:marTop w:val="0"/>
          <w:marBottom w:val="0"/>
          <w:divBdr>
            <w:top w:val="none" w:sz="0" w:space="0" w:color="auto"/>
            <w:left w:val="none" w:sz="0" w:space="0" w:color="auto"/>
            <w:bottom w:val="none" w:sz="0" w:space="0" w:color="auto"/>
            <w:right w:val="none" w:sz="0" w:space="0" w:color="auto"/>
          </w:divBdr>
        </w:div>
        <w:div w:id="241375039">
          <w:marLeft w:val="480"/>
          <w:marRight w:val="0"/>
          <w:marTop w:val="0"/>
          <w:marBottom w:val="0"/>
          <w:divBdr>
            <w:top w:val="none" w:sz="0" w:space="0" w:color="auto"/>
            <w:left w:val="none" w:sz="0" w:space="0" w:color="auto"/>
            <w:bottom w:val="none" w:sz="0" w:space="0" w:color="auto"/>
            <w:right w:val="none" w:sz="0" w:space="0" w:color="auto"/>
          </w:divBdr>
        </w:div>
        <w:div w:id="1867331262">
          <w:marLeft w:val="480"/>
          <w:marRight w:val="0"/>
          <w:marTop w:val="0"/>
          <w:marBottom w:val="0"/>
          <w:divBdr>
            <w:top w:val="none" w:sz="0" w:space="0" w:color="auto"/>
            <w:left w:val="none" w:sz="0" w:space="0" w:color="auto"/>
            <w:bottom w:val="none" w:sz="0" w:space="0" w:color="auto"/>
            <w:right w:val="none" w:sz="0" w:space="0" w:color="auto"/>
          </w:divBdr>
        </w:div>
        <w:div w:id="1446805202">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2543905">
      <w:bodyDiv w:val="1"/>
      <w:marLeft w:val="0"/>
      <w:marRight w:val="0"/>
      <w:marTop w:val="0"/>
      <w:marBottom w:val="0"/>
      <w:divBdr>
        <w:top w:val="none" w:sz="0" w:space="0" w:color="auto"/>
        <w:left w:val="none" w:sz="0" w:space="0" w:color="auto"/>
        <w:bottom w:val="none" w:sz="0" w:space="0" w:color="auto"/>
        <w:right w:val="none" w:sz="0" w:space="0" w:color="auto"/>
      </w:divBdr>
      <w:divsChild>
        <w:div w:id="2001158920">
          <w:marLeft w:val="480"/>
          <w:marRight w:val="0"/>
          <w:marTop w:val="0"/>
          <w:marBottom w:val="0"/>
          <w:divBdr>
            <w:top w:val="none" w:sz="0" w:space="0" w:color="auto"/>
            <w:left w:val="none" w:sz="0" w:space="0" w:color="auto"/>
            <w:bottom w:val="none" w:sz="0" w:space="0" w:color="auto"/>
            <w:right w:val="none" w:sz="0" w:space="0" w:color="auto"/>
          </w:divBdr>
        </w:div>
        <w:div w:id="1132865082">
          <w:marLeft w:val="480"/>
          <w:marRight w:val="0"/>
          <w:marTop w:val="0"/>
          <w:marBottom w:val="0"/>
          <w:divBdr>
            <w:top w:val="none" w:sz="0" w:space="0" w:color="auto"/>
            <w:left w:val="none" w:sz="0" w:space="0" w:color="auto"/>
            <w:bottom w:val="none" w:sz="0" w:space="0" w:color="auto"/>
            <w:right w:val="none" w:sz="0" w:space="0" w:color="auto"/>
          </w:divBdr>
        </w:div>
        <w:div w:id="1172183301">
          <w:marLeft w:val="480"/>
          <w:marRight w:val="0"/>
          <w:marTop w:val="0"/>
          <w:marBottom w:val="0"/>
          <w:divBdr>
            <w:top w:val="none" w:sz="0" w:space="0" w:color="auto"/>
            <w:left w:val="none" w:sz="0" w:space="0" w:color="auto"/>
            <w:bottom w:val="none" w:sz="0" w:space="0" w:color="auto"/>
            <w:right w:val="none" w:sz="0" w:space="0" w:color="auto"/>
          </w:divBdr>
        </w:div>
        <w:div w:id="327095369">
          <w:marLeft w:val="480"/>
          <w:marRight w:val="0"/>
          <w:marTop w:val="0"/>
          <w:marBottom w:val="0"/>
          <w:divBdr>
            <w:top w:val="none" w:sz="0" w:space="0" w:color="auto"/>
            <w:left w:val="none" w:sz="0" w:space="0" w:color="auto"/>
            <w:bottom w:val="none" w:sz="0" w:space="0" w:color="auto"/>
            <w:right w:val="none" w:sz="0" w:space="0" w:color="auto"/>
          </w:divBdr>
        </w:div>
        <w:div w:id="109321094">
          <w:marLeft w:val="480"/>
          <w:marRight w:val="0"/>
          <w:marTop w:val="0"/>
          <w:marBottom w:val="0"/>
          <w:divBdr>
            <w:top w:val="none" w:sz="0" w:space="0" w:color="auto"/>
            <w:left w:val="none" w:sz="0" w:space="0" w:color="auto"/>
            <w:bottom w:val="none" w:sz="0" w:space="0" w:color="auto"/>
            <w:right w:val="none" w:sz="0" w:space="0" w:color="auto"/>
          </w:divBdr>
        </w:div>
        <w:div w:id="1336498137">
          <w:marLeft w:val="480"/>
          <w:marRight w:val="0"/>
          <w:marTop w:val="0"/>
          <w:marBottom w:val="0"/>
          <w:divBdr>
            <w:top w:val="none" w:sz="0" w:space="0" w:color="auto"/>
            <w:left w:val="none" w:sz="0" w:space="0" w:color="auto"/>
            <w:bottom w:val="none" w:sz="0" w:space="0" w:color="auto"/>
            <w:right w:val="none" w:sz="0" w:space="0" w:color="auto"/>
          </w:divBdr>
        </w:div>
        <w:div w:id="1305508951">
          <w:marLeft w:val="480"/>
          <w:marRight w:val="0"/>
          <w:marTop w:val="0"/>
          <w:marBottom w:val="0"/>
          <w:divBdr>
            <w:top w:val="none" w:sz="0" w:space="0" w:color="auto"/>
            <w:left w:val="none" w:sz="0" w:space="0" w:color="auto"/>
            <w:bottom w:val="none" w:sz="0" w:space="0" w:color="auto"/>
            <w:right w:val="none" w:sz="0" w:space="0" w:color="auto"/>
          </w:divBdr>
        </w:div>
        <w:div w:id="1123618055">
          <w:marLeft w:val="480"/>
          <w:marRight w:val="0"/>
          <w:marTop w:val="0"/>
          <w:marBottom w:val="0"/>
          <w:divBdr>
            <w:top w:val="none" w:sz="0" w:space="0" w:color="auto"/>
            <w:left w:val="none" w:sz="0" w:space="0" w:color="auto"/>
            <w:bottom w:val="none" w:sz="0" w:space="0" w:color="auto"/>
            <w:right w:val="none" w:sz="0" w:space="0" w:color="auto"/>
          </w:divBdr>
        </w:div>
        <w:div w:id="141386740">
          <w:marLeft w:val="480"/>
          <w:marRight w:val="0"/>
          <w:marTop w:val="0"/>
          <w:marBottom w:val="0"/>
          <w:divBdr>
            <w:top w:val="none" w:sz="0" w:space="0" w:color="auto"/>
            <w:left w:val="none" w:sz="0" w:space="0" w:color="auto"/>
            <w:bottom w:val="none" w:sz="0" w:space="0" w:color="auto"/>
            <w:right w:val="none" w:sz="0" w:space="0" w:color="auto"/>
          </w:divBdr>
        </w:div>
      </w:divsChild>
    </w:div>
    <w:div w:id="1628732334">
      <w:bodyDiv w:val="1"/>
      <w:marLeft w:val="0"/>
      <w:marRight w:val="0"/>
      <w:marTop w:val="0"/>
      <w:marBottom w:val="0"/>
      <w:divBdr>
        <w:top w:val="none" w:sz="0" w:space="0" w:color="auto"/>
        <w:left w:val="none" w:sz="0" w:space="0" w:color="auto"/>
        <w:bottom w:val="none" w:sz="0" w:space="0" w:color="auto"/>
        <w:right w:val="none" w:sz="0" w:space="0" w:color="auto"/>
      </w:divBdr>
      <w:divsChild>
        <w:div w:id="397553221">
          <w:marLeft w:val="480"/>
          <w:marRight w:val="0"/>
          <w:marTop w:val="0"/>
          <w:marBottom w:val="0"/>
          <w:divBdr>
            <w:top w:val="none" w:sz="0" w:space="0" w:color="auto"/>
            <w:left w:val="none" w:sz="0" w:space="0" w:color="auto"/>
            <w:bottom w:val="none" w:sz="0" w:space="0" w:color="auto"/>
            <w:right w:val="none" w:sz="0" w:space="0" w:color="auto"/>
          </w:divBdr>
        </w:div>
        <w:div w:id="2146121194">
          <w:marLeft w:val="480"/>
          <w:marRight w:val="0"/>
          <w:marTop w:val="0"/>
          <w:marBottom w:val="0"/>
          <w:divBdr>
            <w:top w:val="none" w:sz="0" w:space="0" w:color="auto"/>
            <w:left w:val="none" w:sz="0" w:space="0" w:color="auto"/>
            <w:bottom w:val="none" w:sz="0" w:space="0" w:color="auto"/>
            <w:right w:val="none" w:sz="0" w:space="0" w:color="auto"/>
          </w:divBdr>
        </w:div>
        <w:div w:id="838623140">
          <w:marLeft w:val="480"/>
          <w:marRight w:val="0"/>
          <w:marTop w:val="0"/>
          <w:marBottom w:val="0"/>
          <w:divBdr>
            <w:top w:val="none" w:sz="0" w:space="0" w:color="auto"/>
            <w:left w:val="none" w:sz="0" w:space="0" w:color="auto"/>
            <w:bottom w:val="none" w:sz="0" w:space="0" w:color="auto"/>
            <w:right w:val="none" w:sz="0" w:space="0" w:color="auto"/>
          </w:divBdr>
        </w:div>
        <w:div w:id="299769434">
          <w:marLeft w:val="480"/>
          <w:marRight w:val="0"/>
          <w:marTop w:val="0"/>
          <w:marBottom w:val="0"/>
          <w:divBdr>
            <w:top w:val="none" w:sz="0" w:space="0" w:color="auto"/>
            <w:left w:val="none" w:sz="0" w:space="0" w:color="auto"/>
            <w:bottom w:val="none" w:sz="0" w:space="0" w:color="auto"/>
            <w:right w:val="none" w:sz="0" w:space="0" w:color="auto"/>
          </w:divBdr>
        </w:div>
        <w:div w:id="1060203570">
          <w:marLeft w:val="480"/>
          <w:marRight w:val="0"/>
          <w:marTop w:val="0"/>
          <w:marBottom w:val="0"/>
          <w:divBdr>
            <w:top w:val="none" w:sz="0" w:space="0" w:color="auto"/>
            <w:left w:val="none" w:sz="0" w:space="0" w:color="auto"/>
            <w:bottom w:val="none" w:sz="0" w:space="0" w:color="auto"/>
            <w:right w:val="none" w:sz="0" w:space="0" w:color="auto"/>
          </w:divBdr>
        </w:div>
        <w:div w:id="1657491200">
          <w:marLeft w:val="480"/>
          <w:marRight w:val="0"/>
          <w:marTop w:val="0"/>
          <w:marBottom w:val="0"/>
          <w:divBdr>
            <w:top w:val="none" w:sz="0" w:space="0" w:color="auto"/>
            <w:left w:val="none" w:sz="0" w:space="0" w:color="auto"/>
            <w:bottom w:val="none" w:sz="0" w:space="0" w:color="auto"/>
            <w:right w:val="none" w:sz="0" w:space="0" w:color="auto"/>
          </w:divBdr>
        </w:div>
        <w:div w:id="784620470">
          <w:marLeft w:val="480"/>
          <w:marRight w:val="0"/>
          <w:marTop w:val="0"/>
          <w:marBottom w:val="0"/>
          <w:divBdr>
            <w:top w:val="none" w:sz="0" w:space="0" w:color="auto"/>
            <w:left w:val="none" w:sz="0" w:space="0" w:color="auto"/>
            <w:bottom w:val="none" w:sz="0" w:space="0" w:color="auto"/>
            <w:right w:val="none" w:sz="0" w:space="0" w:color="auto"/>
          </w:divBdr>
        </w:div>
      </w:divsChild>
    </w:div>
    <w:div w:id="1646468389">
      <w:bodyDiv w:val="1"/>
      <w:marLeft w:val="0"/>
      <w:marRight w:val="0"/>
      <w:marTop w:val="0"/>
      <w:marBottom w:val="0"/>
      <w:divBdr>
        <w:top w:val="none" w:sz="0" w:space="0" w:color="auto"/>
        <w:left w:val="none" w:sz="0" w:space="0" w:color="auto"/>
        <w:bottom w:val="none" w:sz="0" w:space="0" w:color="auto"/>
        <w:right w:val="none" w:sz="0" w:space="0" w:color="auto"/>
      </w:divBdr>
      <w:divsChild>
        <w:div w:id="1419251268">
          <w:marLeft w:val="480"/>
          <w:marRight w:val="0"/>
          <w:marTop w:val="0"/>
          <w:marBottom w:val="0"/>
          <w:divBdr>
            <w:top w:val="none" w:sz="0" w:space="0" w:color="auto"/>
            <w:left w:val="none" w:sz="0" w:space="0" w:color="auto"/>
            <w:bottom w:val="none" w:sz="0" w:space="0" w:color="auto"/>
            <w:right w:val="none" w:sz="0" w:space="0" w:color="auto"/>
          </w:divBdr>
        </w:div>
        <w:div w:id="1265920533">
          <w:marLeft w:val="480"/>
          <w:marRight w:val="0"/>
          <w:marTop w:val="0"/>
          <w:marBottom w:val="0"/>
          <w:divBdr>
            <w:top w:val="none" w:sz="0" w:space="0" w:color="auto"/>
            <w:left w:val="none" w:sz="0" w:space="0" w:color="auto"/>
            <w:bottom w:val="none" w:sz="0" w:space="0" w:color="auto"/>
            <w:right w:val="none" w:sz="0" w:space="0" w:color="auto"/>
          </w:divBdr>
        </w:div>
        <w:div w:id="176160956">
          <w:marLeft w:val="480"/>
          <w:marRight w:val="0"/>
          <w:marTop w:val="0"/>
          <w:marBottom w:val="0"/>
          <w:divBdr>
            <w:top w:val="none" w:sz="0" w:space="0" w:color="auto"/>
            <w:left w:val="none" w:sz="0" w:space="0" w:color="auto"/>
            <w:bottom w:val="none" w:sz="0" w:space="0" w:color="auto"/>
            <w:right w:val="none" w:sz="0" w:space="0" w:color="auto"/>
          </w:divBdr>
        </w:div>
        <w:div w:id="950866426">
          <w:marLeft w:val="480"/>
          <w:marRight w:val="0"/>
          <w:marTop w:val="0"/>
          <w:marBottom w:val="0"/>
          <w:divBdr>
            <w:top w:val="none" w:sz="0" w:space="0" w:color="auto"/>
            <w:left w:val="none" w:sz="0" w:space="0" w:color="auto"/>
            <w:bottom w:val="none" w:sz="0" w:space="0" w:color="auto"/>
            <w:right w:val="none" w:sz="0" w:space="0" w:color="auto"/>
          </w:divBdr>
        </w:div>
        <w:div w:id="1161385561">
          <w:marLeft w:val="480"/>
          <w:marRight w:val="0"/>
          <w:marTop w:val="0"/>
          <w:marBottom w:val="0"/>
          <w:divBdr>
            <w:top w:val="none" w:sz="0" w:space="0" w:color="auto"/>
            <w:left w:val="none" w:sz="0" w:space="0" w:color="auto"/>
            <w:bottom w:val="none" w:sz="0" w:space="0" w:color="auto"/>
            <w:right w:val="none" w:sz="0" w:space="0" w:color="auto"/>
          </w:divBdr>
        </w:div>
        <w:div w:id="434253692">
          <w:marLeft w:val="480"/>
          <w:marRight w:val="0"/>
          <w:marTop w:val="0"/>
          <w:marBottom w:val="0"/>
          <w:divBdr>
            <w:top w:val="none" w:sz="0" w:space="0" w:color="auto"/>
            <w:left w:val="none" w:sz="0" w:space="0" w:color="auto"/>
            <w:bottom w:val="none" w:sz="0" w:space="0" w:color="auto"/>
            <w:right w:val="none" w:sz="0" w:space="0" w:color="auto"/>
          </w:divBdr>
        </w:div>
        <w:div w:id="785924496">
          <w:marLeft w:val="480"/>
          <w:marRight w:val="0"/>
          <w:marTop w:val="0"/>
          <w:marBottom w:val="0"/>
          <w:divBdr>
            <w:top w:val="none" w:sz="0" w:space="0" w:color="auto"/>
            <w:left w:val="none" w:sz="0" w:space="0" w:color="auto"/>
            <w:bottom w:val="none" w:sz="0" w:space="0" w:color="auto"/>
            <w:right w:val="none" w:sz="0" w:space="0" w:color="auto"/>
          </w:divBdr>
        </w:div>
        <w:div w:id="278612841">
          <w:marLeft w:val="480"/>
          <w:marRight w:val="0"/>
          <w:marTop w:val="0"/>
          <w:marBottom w:val="0"/>
          <w:divBdr>
            <w:top w:val="none" w:sz="0" w:space="0" w:color="auto"/>
            <w:left w:val="none" w:sz="0" w:space="0" w:color="auto"/>
            <w:bottom w:val="none" w:sz="0" w:space="0" w:color="auto"/>
            <w:right w:val="none" w:sz="0" w:space="0" w:color="auto"/>
          </w:divBdr>
        </w:div>
        <w:div w:id="1726836999">
          <w:marLeft w:val="480"/>
          <w:marRight w:val="0"/>
          <w:marTop w:val="0"/>
          <w:marBottom w:val="0"/>
          <w:divBdr>
            <w:top w:val="none" w:sz="0" w:space="0" w:color="auto"/>
            <w:left w:val="none" w:sz="0" w:space="0" w:color="auto"/>
            <w:bottom w:val="none" w:sz="0" w:space="0" w:color="auto"/>
            <w:right w:val="none" w:sz="0" w:space="0" w:color="auto"/>
          </w:divBdr>
        </w:div>
        <w:div w:id="147483946">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35698684">
      <w:bodyDiv w:val="1"/>
      <w:marLeft w:val="0"/>
      <w:marRight w:val="0"/>
      <w:marTop w:val="0"/>
      <w:marBottom w:val="0"/>
      <w:divBdr>
        <w:top w:val="none" w:sz="0" w:space="0" w:color="auto"/>
        <w:left w:val="none" w:sz="0" w:space="0" w:color="auto"/>
        <w:bottom w:val="none" w:sz="0" w:space="0" w:color="auto"/>
        <w:right w:val="none" w:sz="0" w:space="0" w:color="auto"/>
      </w:divBdr>
      <w:divsChild>
        <w:div w:id="324865469">
          <w:marLeft w:val="480"/>
          <w:marRight w:val="0"/>
          <w:marTop w:val="0"/>
          <w:marBottom w:val="0"/>
          <w:divBdr>
            <w:top w:val="none" w:sz="0" w:space="0" w:color="auto"/>
            <w:left w:val="none" w:sz="0" w:space="0" w:color="auto"/>
            <w:bottom w:val="none" w:sz="0" w:space="0" w:color="auto"/>
            <w:right w:val="none" w:sz="0" w:space="0" w:color="auto"/>
          </w:divBdr>
        </w:div>
        <w:div w:id="871528296">
          <w:marLeft w:val="480"/>
          <w:marRight w:val="0"/>
          <w:marTop w:val="0"/>
          <w:marBottom w:val="0"/>
          <w:divBdr>
            <w:top w:val="none" w:sz="0" w:space="0" w:color="auto"/>
            <w:left w:val="none" w:sz="0" w:space="0" w:color="auto"/>
            <w:bottom w:val="none" w:sz="0" w:space="0" w:color="auto"/>
            <w:right w:val="none" w:sz="0" w:space="0" w:color="auto"/>
          </w:divBdr>
        </w:div>
        <w:div w:id="1186596558">
          <w:marLeft w:val="480"/>
          <w:marRight w:val="0"/>
          <w:marTop w:val="0"/>
          <w:marBottom w:val="0"/>
          <w:divBdr>
            <w:top w:val="none" w:sz="0" w:space="0" w:color="auto"/>
            <w:left w:val="none" w:sz="0" w:space="0" w:color="auto"/>
            <w:bottom w:val="none" w:sz="0" w:space="0" w:color="auto"/>
            <w:right w:val="none" w:sz="0" w:space="0" w:color="auto"/>
          </w:divBdr>
        </w:div>
        <w:div w:id="1510025265">
          <w:marLeft w:val="480"/>
          <w:marRight w:val="0"/>
          <w:marTop w:val="0"/>
          <w:marBottom w:val="0"/>
          <w:divBdr>
            <w:top w:val="none" w:sz="0" w:space="0" w:color="auto"/>
            <w:left w:val="none" w:sz="0" w:space="0" w:color="auto"/>
            <w:bottom w:val="none" w:sz="0" w:space="0" w:color="auto"/>
            <w:right w:val="none" w:sz="0" w:space="0" w:color="auto"/>
          </w:divBdr>
        </w:div>
        <w:div w:id="237056557">
          <w:marLeft w:val="480"/>
          <w:marRight w:val="0"/>
          <w:marTop w:val="0"/>
          <w:marBottom w:val="0"/>
          <w:divBdr>
            <w:top w:val="none" w:sz="0" w:space="0" w:color="auto"/>
            <w:left w:val="none" w:sz="0" w:space="0" w:color="auto"/>
            <w:bottom w:val="none" w:sz="0" w:space="0" w:color="auto"/>
            <w:right w:val="none" w:sz="0" w:space="0" w:color="auto"/>
          </w:divBdr>
        </w:div>
        <w:div w:id="922032567">
          <w:marLeft w:val="480"/>
          <w:marRight w:val="0"/>
          <w:marTop w:val="0"/>
          <w:marBottom w:val="0"/>
          <w:divBdr>
            <w:top w:val="none" w:sz="0" w:space="0" w:color="auto"/>
            <w:left w:val="none" w:sz="0" w:space="0" w:color="auto"/>
            <w:bottom w:val="none" w:sz="0" w:space="0" w:color="auto"/>
            <w:right w:val="none" w:sz="0" w:space="0" w:color="auto"/>
          </w:divBdr>
        </w:div>
        <w:div w:id="1103526111">
          <w:marLeft w:val="480"/>
          <w:marRight w:val="0"/>
          <w:marTop w:val="0"/>
          <w:marBottom w:val="0"/>
          <w:divBdr>
            <w:top w:val="none" w:sz="0" w:space="0" w:color="auto"/>
            <w:left w:val="none" w:sz="0" w:space="0" w:color="auto"/>
            <w:bottom w:val="none" w:sz="0" w:space="0" w:color="auto"/>
            <w:right w:val="none" w:sz="0" w:space="0" w:color="auto"/>
          </w:divBdr>
        </w:div>
        <w:div w:id="1240216955">
          <w:marLeft w:val="480"/>
          <w:marRight w:val="0"/>
          <w:marTop w:val="0"/>
          <w:marBottom w:val="0"/>
          <w:divBdr>
            <w:top w:val="none" w:sz="0" w:space="0" w:color="auto"/>
            <w:left w:val="none" w:sz="0" w:space="0" w:color="auto"/>
            <w:bottom w:val="none" w:sz="0" w:space="0" w:color="auto"/>
            <w:right w:val="none" w:sz="0" w:space="0" w:color="auto"/>
          </w:divBdr>
        </w:div>
        <w:div w:id="913734230">
          <w:marLeft w:val="480"/>
          <w:marRight w:val="0"/>
          <w:marTop w:val="0"/>
          <w:marBottom w:val="0"/>
          <w:divBdr>
            <w:top w:val="none" w:sz="0" w:space="0" w:color="auto"/>
            <w:left w:val="none" w:sz="0" w:space="0" w:color="auto"/>
            <w:bottom w:val="none" w:sz="0" w:space="0" w:color="auto"/>
            <w:right w:val="none" w:sz="0" w:space="0" w:color="auto"/>
          </w:divBdr>
        </w:div>
      </w:divsChild>
    </w:div>
    <w:div w:id="1939175394">
      <w:bodyDiv w:val="1"/>
      <w:marLeft w:val="0"/>
      <w:marRight w:val="0"/>
      <w:marTop w:val="0"/>
      <w:marBottom w:val="0"/>
      <w:divBdr>
        <w:top w:val="none" w:sz="0" w:space="0" w:color="auto"/>
        <w:left w:val="none" w:sz="0" w:space="0" w:color="auto"/>
        <w:bottom w:val="none" w:sz="0" w:space="0" w:color="auto"/>
        <w:right w:val="none" w:sz="0" w:space="0" w:color="auto"/>
      </w:divBdr>
      <w:divsChild>
        <w:div w:id="687487349">
          <w:marLeft w:val="480"/>
          <w:marRight w:val="0"/>
          <w:marTop w:val="0"/>
          <w:marBottom w:val="0"/>
          <w:divBdr>
            <w:top w:val="none" w:sz="0" w:space="0" w:color="auto"/>
            <w:left w:val="none" w:sz="0" w:space="0" w:color="auto"/>
            <w:bottom w:val="none" w:sz="0" w:space="0" w:color="auto"/>
            <w:right w:val="none" w:sz="0" w:space="0" w:color="auto"/>
          </w:divBdr>
        </w:div>
        <w:div w:id="133302379">
          <w:marLeft w:val="480"/>
          <w:marRight w:val="0"/>
          <w:marTop w:val="0"/>
          <w:marBottom w:val="0"/>
          <w:divBdr>
            <w:top w:val="none" w:sz="0" w:space="0" w:color="auto"/>
            <w:left w:val="none" w:sz="0" w:space="0" w:color="auto"/>
            <w:bottom w:val="none" w:sz="0" w:space="0" w:color="auto"/>
            <w:right w:val="none" w:sz="0" w:space="0" w:color="auto"/>
          </w:divBdr>
        </w:div>
        <w:div w:id="1371570120">
          <w:marLeft w:val="480"/>
          <w:marRight w:val="0"/>
          <w:marTop w:val="0"/>
          <w:marBottom w:val="0"/>
          <w:divBdr>
            <w:top w:val="none" w:sz="0" w:space="0" w:color="auto"/>
            <w:left w:val="none" w:sz="0" w:space="0" w:color="auto"/>
            <w:bottom w:val="none" w:sz="0" w:space="0" w:color="auto"/>
            <w:right w:val="none" w:sz="0" w:space="0" w:color="auto"/>
          </w:divBdr>
        </w:div>
        <w:div w:id="1887910281">
          <w:marLeft w:val="480"/>
          <w:marRight w:val="0"/>
          <w:marTop w:val="0"/>
          <w:marBottom w:val="0"/>
          <w:divBdr>
            <w:top w:val="none" w:sz="0" w:space="0" w:color="auto"/>
            <w:left w:val="none" w:sz="0" w:space="0" w:color="auto"/>
            <w:bottom w:val="none" w:sz="0" w:space="0" w:color="auto"/>
            <w:right w:val="none" w:sz="0" w:space="0" w:color="auto"/>
          </w:divBdr>
        </w:div>
        <w:div w:id="1894000200">
          <w:marLeft w:val="480"/>
          <w:marRight w:val="0"/>
          <w:marTop w:val="0"/>
          <w:marBottom w:val="0"/>
          <w:divBdr>
            <w:top w:val="none" w:sz="0" w:space="0" w:color="auto"/>
            <w:left w:val="none" w:sz="0" w:space="0" w:color="auto"/>
            <w:bottom w:val="none" w:sz="0" w:space="0" w:color="auto"/>
            <w:right w:val="none" w:sz="0" w:space="0" w:color="auto"/>
          </w:divBdr>
        </w:div>
        <w:div w:id="468209882">
          <w:marLeft w:val="480"/>
          <w:marRight w:val="0"/>
          <w:marTop w:val="0"/>
          <w:marBottom w:val="0"/>
          <w:divBdr>
            <w:top w:val="none" w:sz="0" w:space="0" w:color="auto"/>
            <w:left w:val="none" w:sz="0" w:space="0" w:color="auto"/>
            <w:bottom w:val="none" w:sz="0" w:space="0" w:color="auto"/>
            <w:right w:val="none" w:sz="0" w:space="0" w:color="auto"/>
          </w:divBdr>
        </w:div>
        <w:div w:id="2066565362">
          <w:marLeft w:val="480"/>
          <w:marRight w:val="0"/>
          <w:marTop w:val="0"/>
          <w:marBottom w:val="0"/>
          <w:divBdr>
            <w:top w:val="none" w:sz="0" w:space="0" w:color="auto"/>
            <w:left w:val="none" w:sz="0" w:space="0" w:color="auto"/>
            <w:bottom w:val="none" w:sz="0" w:space="0" w:color="auto"/>
            <w:right w:val="none" w:sz="0" w:space="0" w:color="auto"/>
          </w:divBdr>
        </w:div>
        <w:div w:id="1049381837">
          <w:marLeft w:val="480"/>
          <w:marRight w:val="0"/>
          <w:marTop w:val="0"/>
          <w:marBottom w:val="0"/>
          <w:divBdr>
            <w:top w:val="none" w:sz="0" w:space="0" w:color="auto"/>
            <w:left w:val="none" w:sz="0" w:space="0" w:color="auto"/>
            <w:bottom w:val="none" w:sz="0" w:space="0" w:color="auto"/>
            <w:right w:val="none" w:sz="0" w:space="0" w:color="auto"/>
          </w:divBdr>
        </w:div>
      </w:divsChild>
    </w:div>
    <w:div w:id="1960068291">
      <w:bodyDiv w:val="1"/>
      <w:marLeft w:val="0"/>
      <w:marRight w:val="0"/>
      <w:marTop w:val="0"/>
      <w:marBottom w:val="0"/>
      <w:divBdr>
        <w:top w:val="none" w:sz="0" w:space="0" w:color="auto"/>
        <w:left w:val="none" w:sz="0" w:space="0" w:color="auto"/>
        <w:bottom w:val="none" w:sz="0" w:space="0" w:color="auto"/>
        <w:right w:val="none" w:sz="0" w:space="0" w:color="auto"/>
      </w:divBdr>
      <w:divsChild>
        <w:div w:id="1934896526">
          <w:marLeft w:val="480"/>
          <w:marRight w:val="0"/>
          <w:marTop w:val="0"/>
          <w:marBottom w:val="0"/>
          <w:divBdr>
            <w:top w:val="none" w:sz="0" w:space="0" w:color="auto"/>
            <w:left w:val="none" w:sz="0" w:space="0" w:color="auto"/>
            <w:bottom w:val="none" w:sz="0" w:space="0" w:color="auto"/>
            <w:right w:val="none" w:sz="0" w:space="0" w:color="auto"/>
          </w:divBdr>
        </w:div>
        <w:div w:id="184253514">
          <w:marLeft w:val="480"/>
          <w:marRight w:val="0"/>
          <w:marTop w:val="0"/>
          <w:marBottom w:val="0"/>
          <w:divBdr>
            <w:top w:val="none" w:sz="0" w:space="0" w:color="auto"/>
            <w:left w:val="none" w:sz="0" w:space="0" w:color="auto"/>
            <w:bottom w:val="none" w:sz="0" w:space="0" w:color="auto"/>
            <w:right w:val="none" w:sz="0" w:space="0" w:color="auto"/>
          </w:divBdr>
        </w:div>
        <w:div w:id="709375086">
          <w:marLeft w:val="480"/>
          <w:marRight w:val="0"/>
          <w:marTop w:val="0"/>
          <w:marBottom w:val="0"/>
          <w:divBdr>
            <w:top w:val="none" w:sz="0" w:space="0" w:color="auto"/>
            <w:left w:val="none" w:sz="0" w:space="0" w:color="auto"/>
            <w:bottom w:val="none" w:sz="0" w:space="0" w:color="auto"/>
            <w:right w:val="none" w:sz="0" w:space="0" w:color="auto"/>
          </w:divBdr>
        </w:div>
        <w:div w:id="841316779">
          <w:marLeft w:val="480"/>
          <w:marRight w:val="0"/>
          <w:marTop w:val="0"/>
          <w:marBottom w:val="0"/>
          <w:divBdr>
            <w:top w:val="none" w:sz="0" w:space="0" w:color="auto"/>
            <w:left w:val="none" w:sz="0" w:space="0" w:color="auto"/>
            <w:bottom w:val="none" w:sz="0" w:space="0" w:color="auto"/>
            <w:right w:val="none" w:sz="0" w:space="0" w:color="auto"/>
          </w:divBdr>
        </w:div>
        <w:div w:id="1322809676">
          <w:marLeft w:val="480"/>
          <w:marRight w:val="0"/>
          <w:marTop w:val="0"/>
          <w:marBottom w:val="0"/>
          <w:divBdr>
            <w:top w:val="none" w:sz="0" w:space="0" w:color="auto"/>
            <w:left w:val="none" w:sz="0" w:space="0" w:color="auto"/>
            <w:bottom w:val="none" w:sz="0" w:space="0" w:color="auto"/>
            <w:right w:val="none" w:sz="0" w:space="0" w:color="auto"/>
          </w:divBdr>
        </w:div>
        <w:div w:id="1479108999">
          <w:marLeft w:val="480"/>
          <w:marRight w:val="0"/>
          <w:marTop w:val="0"/>
          <w:marBottom w:val="0"/>
          <w:divBdr>
            <w:top w:val="none" w:sz="0" w:space="0" w:color="auto"/>
            <w:left w:val="none" w:sz="0" w:space="0" w:color="auto"/>
            <w:bottom w:val="none" w:sz="0" w:space="0" w:color="auto"/>
            <w:right w:val="none" w:sz="0" w:space="0" w:color="auto"/>
          </w:divBdr>
        </w:div>
        <w:div w:id="683476304">
          <w:marLeft w:val="480"/>
          <w:marRight w:val="0"/>
          <w:marTop w:val="0"/>
          <w:marBottom w:val="0"/>
          <w:divBdr>
            <w:top w:val="none" w:sz="0" w:space="0" w:color="auto"/>
            <w:left w:val="none" w:sz="0" w:space="0" w:color="auto"/>
            <w:bottom w:val="none" w:sz="0" w:space="0" w:color="auto"/>
            <w:right w:val="none" w:sz="0" w:space="0" w:color="auto"/>
          </w:divBdr>
        </w:div>
        <w:div w:id="1362710263">
          <w:marLeft w:val="480"/>
          <w:marRight w:val="0"/>
          <w:marTop w:val="0"/>
          <w:marBottom w:val="0"/>
          <w:divBdr>
            <w:top w:val="none" w:sz="0" w:space="0" w:color="auto"/>
            <w:left w:val="none" w:sz="0" w:space="0" w:color="auto"/>
            <w:bottom w:val="none" w:sz="0" w:space="0" w:color="auto"/>
            <w:right w:val="none" w:sz="0" w:space="0" w:color="auto"/>
          </w:divBdr>
        </w:div>
        <w:div w:id="868177612">
          <w:marLeft w:val="480"/>
          <w:marRight w:val="0"/>
          <w:marTop w:val="0"/>
          <w:marBottom w:val="0"/>
          <w:divBdr>
            <w:top w:val="none" w:sz="0" w:space="0" w:color="auto"/>
            <w:left w:val="none" w:sz="0" w:space="0" w:color="auto"/>
            <w:bottom w:val="none" w:sz="0" w:space="0" w:color="auto"/>
            <w:right w:val="none" w:sz="0" w:space="0" w:color="auto"/>
          </w:divBdr>
        </w:div>
        <w:div w:id="1937900090">
          <w:marLeft w:val="480"/>
          <w:marRight w:val="0"/>
          <w:marTop w:val="0"/>
          <w:marBottom w:val="0"/>
          <w:divBdr>
            <w:top w:val="none" w:sz="0" w:space="0" w:color="auto"/>
            <w:left w:val="none" w:sz="0" w:space="0" w:color="auto"/>
            <w:bottom w:val="none" w:sz="0" w:space="0" w:color="auto"/>
            <w:right w:val="none" w:sz="0" w:space="0" w:color="auto"/>
          </w:divBdr>
        </w:div>
      </w:divsChild>
    </w:div>
    <w:div w:id="1967351512">
      <w:bodyDiv w:val="1"/>
      <w:marLeft w:val="0"/>
      <w:marRight w:val="0"/>
      <w:marTop w:val="0"/>
      <w:marBottom w:val="0"/>
      <w:divBdr>
        <w:top w:val="none" w:sz="0" w:space="0" w:color="auto"/>
        <w:left w:val="none" w:sz="0" w:space="0" w:color="auto"/>
        <w:bottom w:val="none" w:sz="0" w:space="0" w:color="auto"/>
        <w:right w:val="none" w:sz="0" w:space="0" w:color="auto"/>
      </w:divBdr>
      <w:divsChild>
        <w:div w:id="1930459665">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4CBA9A1F-983A-47AA-9F41-BD7183962FF9}"/>
      </w:docPartPr>
      <w:docPartBody>
        <w:p w:rsidR="00867FD1" w:rsidRDefault="00011D79">
          <w:r w:rsidRPr="00572CE4">
            <w:rPr>
              <w:rStyle w:val="Testosegnaposto"/>
            </w:rPr>
            <w:t>Fare clic o toccare qui per immettere il testo.</w:t>
          </w:r>
        </w:p>
      </w:docPartBody>
    </w:docPart>
    <w:docPart>
      <w:docPartPr>
        <w:name w:val="286111FE02DF443999FB421D93BC0A19"/>
        <w:category>
          <w:name w:val="Generale"/>
          <w:gallery w:val="placeholder"/>
        </w:category>
        <w:types>
          <w:type w:val="bbPlcHdr"/>
        </w:types>
        <w:behaviors>
          <w:behavior w:val="content"/>
        </w:behaviors>
        <w:guid w:val="{A284643D-AFDA-4DDD-A5CD-1539DF9805D0}"/>
      </w:docPartPr>
      <w:docPartBody>
        <w:p w:rsidR="00867FD1" w:rsidRDefault="00011D79" w:rsidP="00011D79">
          <w:pPr>
            <w:pStyle w:val="286111FE02DF443999FB421D93BC0A19"/>
          </w:pPr>
          <w:r w:rsidRPr="00572CE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79"/>
    <w:rsid w:val="00011D79"/>
    <w:rsid w:val="000762FC"/>
    <w:rsid w:val="00096268"/>
    <w:rsid w:val="000A17F9"/>
    <w:rsid w:val="000E099F"/>
    <w:rsid w:val="001B1483"/>
    <w:rsid w:val="001D2482"/>
    <w:rsid w:val="002663B8"/>
    <w:rsid w:val="00391C34"/>
    <w:rsid w:val="004462B4"/>
    <w:rsid w:val="00504C60"/>
    <w:rsid w:val="00680932"/>
    <w:rsid w:val="006E407A"/>
    <w:rsid w:val="007F1F20"/>
    <w:rsid w:val="00867FD1"/>
    <w:rsid w:val="00926E80"/>
    <w:rsid w:val="00962EEC"/>
    <w:rsid w:val="00A05477"/>
    <w:rsid w:val="00A24296"/>
    <w:rsid w:val="00AE0A46"/>
    <w:rsid w:val="00B31BB1"/>
    <w:rsid w:val="00C1379D"/>
    <w:rsid w:val="00CA5132"/>
    <w:rsid w:val="00D07FEB"/>
    <w:rsid w:val="00D3563B"/>
    <w:rsid w:val="00DA6A4B"/>
    <w:rsid w:val="00ED344A"/>
    <w:rsid w:val="00F85D48"/>
    <w:rsid w:val="00FB5A91"/>
    <w:rsid w:val="00FF69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B1483"/>
    <w:rPr>
      <w:color w:val="666666"/>
    </w:rPr>
  </w:style>
  <w:style w:type="paragraph" w:customStyle="1" w:styleId="286111FE02DF443999FB421D93BC0A19">
    <w:name w:val="286111FE02DF443999FB421D93BC0A19"/>
    <w:rsid w:val="00011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02802D-1167-4E27-81F9-F8750E89E9A9}">
  <we:reference id="wa104382081" version="1.55.1.0" store="it-IT" storeType="OMEX"/>
  <we:alternateReferences>
    <we:reference id="WA104382081" version="1.55.1.0" store="" storeType="OMEX"/>
  </we:alternateReferences>
  <we:properties>
    <we:property name="MENDELEY_CITATIONS" value="[{&quot;citationID&quot;:&quot;MENDELEY_CITATION_4319b4f0-da5a-4978-9555-97610c199f89&quot;,&quot;properties&quot;:{&quot;noteIndex&quot;:0},&quot;isEdited&quot;:false,&quot;manualOverride&quot;:{&quot;isManuallyOverridden&quot;:false,&quot;citeprocText&quot;:&quot;(Khan et al., 2021)&quot;,&quot;manualOverrideText&quot;:&quot;&quot;},&quot;citationTag&quot;:&quot;MENDELEY_CITATION_v3_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&quot;,&quot;citationItems&quot;:[{&quot;id&quot;:&quot;c4418342-eb97-3447-890b-436a66a57695&quot;,&quot;itemData&quot;:{&quot;type&quot;:&quot;article-journal&quot;,&quot;id&quot;:&quot;c4418342-eb97-3447-890b-436a66a57695&quot;,&quot;title&quot;:&quot;Regimes of hydrochar yield from hydrothermal degradation of various lignocellulosic biomass: A review&quot;,&quot;author&quot;:[{&quot;family&quot;:&quot;Khan&quot;,&quot;given&quot;:&quot;Naomon&quot;,&quot;parse-names&quot;:false,&quot;dropping-particle&quot;:&quot;&quot;,&quot;non-dropping-particle&quot;:&quot;&quot;},{&quot;family&quot;:&quot;Mohan&quot;,&quot;given&quot;:&quot;Sooraj&quot;,&quot;parse-names&quot;:false,&quot;dropping-particle&quot;:&quot;&quot;,&quot;non-dropping-particle&quot;:&quot;&quot;},{&quot;family&quot;:&quot;Dinesha&quot;,&quot;given&quot;:&quot;P.&quot;,&quot;parse-names&quot;:false,&quot;dropping-particle&quot;:&quot;&quot;,&quot;non-dropping-particle&quot;:&quot;&quot;}],&quot;container-title&quot;:&quot;Journal of Cleaner Production&quot;,&quot;container-title-short&quot;:&quot;J Clean Prod&quot;,&quot;accessed&quot;:{&quot;date-parts&quot;:[[2021,5,21]]},&quot;DOI&quot;:&quot;10.1016/j.jclepro.2020.125629&quot;,&quot;ISSN&quot;:&quot;09596526&quot;,&quot;issued&quot;:{&quot;date-parts&quot;:[[2021,3,15]]},&quot;page&quot;:&quot;125629&quot;,&quot;abstract&quot;:&quot;Hydrothermal carbonization (HTC) technique is used to convert lignocellulosic biomass into carbon-rich solid fuel. The product, hydrochar, finds a multitude of applications as a fuel, catalyst, adsorbent, etc. This paper reviews the different feedstock suitable for HTC that are experimentally investigated and classifies them into five categories like woody biomass, plant biomass, agricultural biomass, algae, and municipal solid waste (MSW). The operating regimes and hydrochar yields for each category are systematically reviewed and presented. With 75% hydrochar yield and high calorific value, the food waste of MSW makes an excellent candidate for HTC feedstock. The conversion mechanisms of each constituent of biomass are also discussed. Different parameters that significantly affect the process yield are temperature, residence time, pH, and, water to biomass ratio. Improvement in the quality of hydrochar can be attained by using the assistance of microwaves. Different characterization techniques are discussed briefly and energy content obtained in each type of feedstock is comprehensively presented. The best operating regime for the process having a temperature range of 180–240 °C with a slightly acidic pH in feed condition. Further rigorous and extensive research on surface characteristics and deactivation mechanism for catalyst/adsorbent applications is required to appropriately identify the suitable feedstock. Further research is also required to ascertain the behavior of other organic compounds, their degradation mechanism in biomass, and analyze the liquid and gaseous by-products obtained.&quot;,&quot;publisher&quot;:&quot;Elsevier Ltd&quot;,&quot;volume&quot;:&quot;288&quot;},&quot;isTemporary&quot;:false}]},{&quot;citationID&quot;:&quot;MENDELEY_CITATION_b53cc809-7843-4fa9-9dd8-91f05b0775d5&quot;,&quot;properties&quot;:{&quot;noteIndex&quot;:0},&quot;isEdited&quot;:false,&quot;manualOverride&quot;:{&quot;isManuallyOverridden&quot;:false,&quot;citeprocText&quot;:&quot;(Islam et al., 2021)&quot;,&quot;manualOverrideText&quot;:&quot;&quot;},&quot;citationTag&quot;:&quot;MENDELEY_CITATION_v3_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&quot;,&quot;citationItems&quot;:[{&quot;id&quot;:&quot;cf8b0ee9-b377-38ce-b17a-0415b00024c7&quot;,&quot;itemData&quot;:{&quot;type&quot;:&quot;article-journal&quot;,&quot;id&quot;:&quot;cf8b0ee9-b377-38ce-b17a-0415b00024c7&quot;,&quot;title&quot;:&quot;Hydrochar-based soil amendments for agriculture: a review of recent progress&quot;,&quot;author&quot;:[{&quot;family&quot;:&quot;Islam&quot;,&quot;given&quot;:&quot;Md Azharul&quot;,&quot;parse-names&quot;:false,&quot;dropping-particle&quot;:&quot;&quot;,&quot;non-dropping-particle&quot;:&quot;&quot;},{&quot;family&quot;:&quot;Limon&quot;,&quot;given&quot;:&quot;Md Sharif Hasan&quot;,&quot;parse-names&quot;:false,&quot;dropping-particle&quot;:&quot;&quot;,&quot;non-dropping-particle&quot;:&quot;&quot;},{&quot;family&quot;:&quot;Romić&quot;,&quot;given&quot;:&quot;Marija&quot;,&quot;parse-names&quot;:false,&quot;dropping-particle&quot;:&quot;&quot;,&quot;non-dropping-particle&quot;:&quot;&quot;},{&quot;family&quot;:&quot;Islam&quot;,&quot;given&quot;:&quot;Md Atikul&quot;,&quot;parse-names&quot;:false,&quot;dropping-particle&quot;:&quot;&quot;,&quot;non-dropping-particle&quot;:&quot;&quot;}],&quot;container-title&quot;:&quot;Arabian Journal of Geosciences 2021 14:2&quot;,&quot;accessed&quot;:{&quot;date-parts&quot;:[[2024,7,8]]},&quot;DOI&quot;:&quot;10.1007/S12517-020-06358-8&quot;,&quot;ISSN&quot;:&quot;1866-7538&quot;,&quot;URL&quot;:&quot;https://link.springer.com/article/10.1007/s12517-020-06358-8&quot;,&quot;issued&quot;:{&quot;date-parts&quot;:[[2021,1,15]]},&quot;page&quot;:&quot;1-16&quot;,&quot;abstract&quot;:&quot;Hydrochar is a carbon-rich material produced by the hydrothermal carbonization (HTC) of biomass. As a new concept, hydrochar has generated much research interest due to its ability to employ wet and dry biomass as feedstocks and its application in the agronomical, environmental, and energy sectors. This review considers the developments made with hydrochar as a soil amendment in terms of soil fertility, carbon sequestration, and fate of pollutants based on the available data. Moreover, the economic feasibility using a life cycle assessment of hydrochar has also been discussed. This review assessed that the hydrochar is an environmentally friendly soil amendments for plant growth by slow release of nutrients and carbon sequestration. Hydrochar application to the soil may increase the soil’s water-holding capacity but decreases the bulk density, although the water-holding capacity of hydrochar depends on the reaction temperature and particle size of the materials. Furthermore, the hydrochar may exert a positive effect on growth and abundance of different soil microbes. This paper not only summarizes the recent advances made in developing hydrochar as a soil amendment, it also discusses the challenges and limitations of hydrochar in a wider context.&quot;,&quot;publisher&quot;:&quot;Springer&quot;,&quot;issue&quot;:&quot;2&quot;,&quot;volume&quot;:&quot;14&quot;,&quot;container-title-short&quot;:&quot;&quot;},&quot;isTemporary&quot;:false}]},{&quot;citationID&quot;:&quot;MENDELEY_CITATION_149006a1-5044-480e-a970-07e2cec51730&quot;,&quot;properties&quot;:{&quot;noteIndex&quot;:0},&quot;isEdited&quot;:false,&quot;manualOverride&quot;:{&quot;isManuallyOverridden&quot;:false,&quot;citeprocText&quot;:&quot;(Di Caprio et al., 2022)&quot;,&quot;manualOverrideText&quot;:&quot;&quot;},&quot;citationTag&quot;:&quot;MENDELEY_CITATION_v3_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&quot;,&quot;citationItems&quot;:[{&quot;id&quot;:&quot;b91f4c34-7042-3bd7-82fb-2b91a29c150f&quot;,&quot;itemData&quot;:{&quot;type&quot;:&quot;article-journal&quot;,&quot;id&quot;:&quot;b91f4c34-7042-3bd7-82fb-2b91a29c150f&quot;,&quot;title&quot;:&quot;Two-phase synthesis of Fe-loaded hydrochar for As removal: The distinct effects of initial pH, reaction time and Fe/hydrochar ratio&quot;,&quot;author&quot;:[{&quot;family&quot;:&quot;Caprio&quot;,&quot;given&quot;:&quot;Fabrizio&quot;,&quot;parse-names&quot;:false,&quot;dropping-particle&quot;:&quot;&quot;,&quot;non-dropping-particle&quot;:&quot;Di&quot;},{&quot;family&quot;:&quot;Pellini&quot;,&quot;given&quot;:&quot;Andrea&quot;,&quot;parse-names&quot;:false,&quot;dropping-particle&quot;:&quot;&quot;,&quot;non-dropping-particle&quot;:&quot;&quot;},{&quot;family&quot;:&quot;Zanoni&quot;,&quot;given&quot;:&quot;Robertino&quot;,&quot;parse-names&quot;:false,&quot;dropping-particle&quot;:&quot;&quot;,&quot;non-dropping-particle&quot;:&quot;&quot;},{&quot;family&quot;:&quot;Astolfi&quot;,&quot;given&quot;:&quot;Maria Luisa&quot;,&quot;parse-names&quot;:false,&quot;dropping-particle&quot;:&quot;&quot;,&quot;non-dropping-particle&quot;:&quot;&quot;},{&quot;family&quot;:&quot;Altimari&quot;,&quot;given&quot;:&quot;Pietro&quot;,&quot;parse-names&quot;:false,&quot;dropping-particle&quot;:&quot;&quot;,&quot;non-dropping-particle&quot;:&quot;&quot;},{&quot;family&quot;:&quot;Pagnanelli&quot;,&quot;given&quot;:&quot;Francesca&quot;,&quot;parse-names&quot;:false,&quot;dropping-particle&quot;:&quot;&quot;,&quot;non-dropping-particle&quot;:&quot;&quot;}],&quot;container-title&quot;:&quot;Journal of Environmental Management&quot;,&quot;container-title-short&quot;:&quot;J Environ Manage&quot;,&quot;accessed&quot;:{&quot;date-parts&quot;:[[2022,10,20]]},&quot;DOI&quot;:&quot;10.1016/J.JENVMAN.2021.114058&quot;,&quot;ISSN&quot;:&quot;0301-4797&quot;,&quot;PMID&quot;:&quot;34741947&quot;,&quot;issued&quot;:{&quot;date-parts&quot;:[[2022,1,15]]},&quot;page&quot;:&quot;114058&quot;,&quot;abstract&quot;:&quot;Hydrothermal carbonization (HTC) is a promising technology for producing char material (hydrochar) from waste biomass. In the present work, a two-stage process was applied and optimized to obtain a composite Fe-loaded hydrochar effective in removing arsenic from water. The first stage of carbonization of the biomass in acid conditions was followed by loading Fe3O4 in the second stage into the hydrochar by alkaline co-precipitation. The effect on the kinetics and on the final yield of HTC induced by a variation of the initial acid pH (5.6, 2.0, and 0.5) was tested. Biomass hydrolysis initially decreased the hydrochar yield and released soluble organic species, responsible for the observed pH variation. This effect was more remarkable at the lower initial pH tested. Soluble organic compounds eventually underwent polymerization, with secondary char formation, an inversion of the pH trend and an increase of hydrochar yield and C%. The final pH attained was linearly related to the hydrochar C%, O/C ratio, and initial pH. Better carbonization performances were achieved at pH = 0.5, 200 °C, and 30 min reaction time, which resulted in 53% mass yield and 72 C%. This value is larger than those previously reported for processes conducted at higher temperatures, and it shows how the addition of acid allows working at lower operative temperatures. Fe loading gave better yields at lower hydrochar concentrations, producing an adsorbent with up to 74% Fe3O4, which adsorbed 2.67 mg/g arsenic. Its adsorption capacity was remarkably affected by the stirring method used, indicating that particle-to-particle interactions considerably influence the process. This effect should be better studied for improved applications in fixed-bed columns.&quot;,&quot;publisher&quot;:&quot;Academic Press&quot;,&quot;volume&quot;:&quot;302&quot;},&quot;isTemporary&quot;:false}]},{&quot;citationID&quot;:&quot;MENDELEY_CITATION_f64a7dab-625c-4a6d-a41c-9801b67476fd&quot;,&quot;properties&quot;:{&quot;noteIndex&quot;:0},&quot;isEdited&quot;:false,&quot;manualOverride&quot;:{&quot;isManuallyOverridden&quot;:false,&quot;citeprocText&quot;:&quot;(Stemann et al., 2013)&quot;,&quot;manualOverrideText&quot;:&quot;&quot;},&quot;citationTag&quot;:&quot;MENDELEY_CITATION_v3_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&quot;,&quot;citationItems&quot;:[{&quot;id&quot;:&quot;cbb68eac-83d9-3c57-a4c8-555a553f6eb1&quot;,&quot;itemData&quot;:{&quot;type&quot;:&quot;article-journal&quot;,&quot;id&quot;:&quot;cbb68eac-83d9-3c57-a4c8-555a553f6eb1&quot;,&quot;title&quot;:&quot;Hydrothermal carbonization: Process water characterization and effects of water recirculation&quot;,&quot;author&quot;:[{&quot;family&quot;:&quot;Stemann&quot;,&quot;given&quot;:&quot;Jan&quot;,&quot;parse-names&quot;:false,&quot;dropping-particle&quot;:&quot;&quot;,&quot;non-dropping-particle&quot;:&quot;&quot;},{&quot;family&quot;:&quot;Putschew&quot;,&quot;given&quot;:&quot;Anke&quot;,&quot;parse-names&quot;:false,&quot;dropping-particle&quot;:&quot;&quot;,&quot;non-dropping-particle&quot;:&quot;&quot;},{&quot;family&quot;:&quot;Ziegler&quot;,&quot;given&quot;:&quot;Felix&quot;,&quot;parse-names&quot;:false,&quot;dropping-particle&quot;:&quot;&quot;,&quot;non-dropping-particle&quot;:&quot;&quot;}],&quot;container-title&quot;:&quot;Bioresource Technology&quot;,&quot;container-title-short&quot;:&quot;Bioresour Technol&quot;,&quot;accessed&quot;:{&quot;date-parts&quot;:[[2023,7,10]]},&quot;DOI&quot;:&quot;10.1016/J.BIORTECH.2013.05.098&quot;,&quot;ISSN&quot;:&quot;0960-8524&quot;,&quot;PMID&quot;:&quot;23792664&quot;,&quot;issued&quot;:{&quot;date-parts&quot;:[[2013,9,1]]},&quot;page&quot;:&quot;139-146&quot;,&quot;abstract&quot;:&quot;Poplar wood chips were treated hydrothermally and the increase of process efficiency by water recirculation was examined. About 15% of the carbon in the biomass was dissolved in the liquid phase when biomass was treated in de-ionized water at 220. °C for 4. h. The dissolved organic matter contained oxygen and was partly aerobically biodegradable. About 30-50% of the total organic carbon originated from organic acids. A polar and aromatic fraction was extracted and a major portion of the organic load was of higher molecular weight. By process water recirculation organic acids in the liquid phase concentrated and catalyzed dehydration reactions. As a consequence, functional groups in hydrothermally synthesized coal declined and dewaterability was enhanced. Recirculated reactive substances polymerized and formed additional solid substance. As a result, carbon and energetic yields of the produced coal rose to 84% and 82%, respectively. © 2013 Elsevier Ltd.&quot;,&quot;publisher&quot;:&quot;Elsevier&quot;,&quot;volume&quot;:&quot;143&quot;},&quot;isTemporary&quot;:false}]},{&quot;citationID&quot;:&quot;MENDELEY_CITATION_0cdd71a8-fdfb-4ba8-8e70-2b7e808034a8&quot;,&quot;properties&quot;:{&quot;noteIndex&quot;:0},&quot;isEdited&quot;:false,&quot;manualOverride&quot;:{&quot;isManuallyOverridden&quot;:false,&quot;citeprocText&quot;:&quot;(Wang et al., 2018)&quot;,&quot;manualOverrideText&quot;:&quot;&quot;},&quot;citationTag&quot;:&quot;MENDELEY_CITATION_v3_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&quot;,&quot;citationItems&quot;:[{&quot;id&quot;:&quot;3dc208d8-6394-3e5c-81b6-f5dc45473838&quot;,&quot;itemData&quot;:{&quot;type&quot;:&quot;article-journal&quot;,&quot;id&quot;:&quot;3dc208d8-6394-3e5c-81b6-f5dc45473838&quot;,&quot;title&quot;:&quot;A review of the hydrothermal carbonization of biomass waste for hydrochar formation: Process conditions, fundamentals, and physicochemical properties&quot;,&quot;author&quot;:[{&quot;family&quot;:&quot;Wang&quot;,&quot;given&quot;:&quot;Tengfei&quot;,&quot;parse-names&quot;:false,&quot;dropping-particle&quot;:&quot;&quot;,&quot;non-dropping-particle&quot;:&quot;&quot;},{&quot;family&quot;:&quot;Zhai&quot;,&quot;given&quot;:&quot;Yunbo&quot;,&quot;parse-names&quot;:false,&quot;dropping-particle&quot;:&quot;&quot;,&quot;non-dropping-particle&quot;:&quot;&quot;},{&quot;family&quot;:&quot;Zhu&quot;,&quot;given&quot;:&quot;Yun&quot;,&quot;parse-names&quot;:false,&quot;dropping-particle&quot;:&quot;&quot;,&quot;non-dropping-particle&quot;:&quot;&quot;},{&quot;family&quot;:&quot;Li&quot;,&quot;given&quot;:&quot;Caiting&quot;,&quot;parse-names&quot;:false,&quot;dropping-particle&quot;:&quot;&quot;,&quot;non-dropping-particle&quot;:&quot;&quot;},{&quot;family&quot;:&quot;Zeng&quot;,&quot;given&quot;:&quot;Guangming&quot;,&quot;parse-names&quot;:false,&quot;dropping-particle&quot;:&quot;&quot;,&quot;non-dropping-particle&quot;:&quot;&quot;}],&quot;container-title&quot;:&quot;Renewable and Sustainable Energy Reviews&quot;,&quot;accessed&quot;:{&quot;date-parts&quot;:[[2023,7,12]]},&quot;DOI&quot;:&quot;10.1016/J.RSER.2018.03.071&quot;,&quot;ISSN&quot;:&quot;1364-0321&quot;,&quot;issued&quot;:{&quot;date-parts&quot;:[[2018,7,1]]},&quot;page&quot;:&quot;223-247&quot;,&quot;abstract&quot;:&quot;Hydrothermal carbonization (HTC) is a thermochemical conversion technique which is attractive due to its ability to transform wet biomass into energy and chemicals without predrying. The solid product, known as hydrochar, has received attention because of its ability to prepare precursors of activated carbon in wastewater pollution remediation, soil remediation applications, solid fuels, and other carbonaceous materials. Besides the generally lignocellulose biomass used as sustainable feedstock, HTC has been applied to a wide range of derived waste, including sewage sludge, algae, and municipal solid waste to solve practical problems and generate desirable carbonaceous products. This review presented the critical hydrothermal parameters of HTC, including temperature, residence time, heating rate, reactant concentration, and aqueous quality. The chemical reaction mechanisms involved in the formation of hydrochar derived from single components and representative feedstock, lignocellulose, and sludge termed as N-free and N-rich biomass, were elucidated and summarized to better understand the hydrochar formation process. Specifically, hydrochar physicochemical characteristics such as surface chemistry and structure were investigated. Current knowledge gaps, and new perspectives with corresponding recommendations were provided to further exploit the great potential of the HTC technique and more practical applications for hydrochar in the future.&quot;,&quot;publisher&quot;:&quot;Pergamon&quot;,&quot;volume&quot;:&quot;90&quot;,&quot;container-title-short&quot;:&quot;&quot;},&quot;isTemporary&quot;:false}]},{&quot;citationID&quot;:&quot;MENDELEY_CITATION_42e070c8-8b44-489d-b4c3-266e699061d1&quot;,&quot;properties&quot;:{&quot;noteIndex&quot;:0},&quot;isEdited&quot;:false,&quot;manualOverride&quot;:{&quot;isManuallyOverridden&quot;:false,&quot;citeprocText&quot;:&quot;(Proietti Tocca et al., 2024)&quot;,&quot;manualOverrideText&quot;:&quot;&quot;},&quot;citationTag&quot;:&quot;MENDELEY_CITATION_v3_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&quot;,&quot;citationItems&quot;:[{&quot;id&quot;:&quot;37a85022-1260-353f-96fb-1181fc763834&quot;,&quot;itemData&quot;:{&quot;type&quot;:&quot;article-journal&quot;,&quot;id&quot;:&quot;37a85022-1260-353f-96fb-1181fc763834&quot;,&quot;title&quot;:&quot;Mixotrophic and heterotrophic growth of microalgae using acetate from different production processes&quot;,&quot;author&quot;:[{&quot;family&quot;:&quot;Proietti Tocca&quot;,&quot;given&quot;:&quot;Giacomo&quot;,&quot;parse-names&quot;:false,&quot;dropping-particle&quot;:&quot;&quot;,&quot;non-dropping-particle&quot;:&quot;&quot;},{&quot;family&quot;:&quot;Agostino&quot;,&quot;given&quot;:&quot;Valeria&quot;,&quot;parse-names&quot;:false,&quot;dropping-particle&quot;:&quot;&quot;,&quot;non-dropping-particle&quot;:&quot;&quot;},{&quot;family&quot;:&quot;Menin&quot;,&quot;given&quot;:&quot;Barbara&quot;,&quot;parse-names&quot;:false,&quot;dropping-particle&quot;:&quot;&quot;,&quot;non-dropping-particle&quot;:&quot;&quot;},{&quot;family&quot;:&quot;Tommasi&quot;,&quot;given&quot;:&quot;Tonia&quot;,&quot;parse-names&quot;:false,&quot;dropping-particle&quot;:&quot;&quot;,&quot;non-dropping-particle&quot;:&quot;&quot;},{&quot;family&quot;:&quot;Fino&quot;,&quot;given&quot;:&quot;Debora&quot;,&quot;parse-names&quot;:false,&quot;dropping-particle&quot;:&quot;&quot;,&quot;non-dropping-particle&quot;:&quot;&quot;},{&quot;family&quot;:&quot;Caprio&quot;,&quot;given&quot;:&quot;Fabrizio&quot;,&quot;parse-names&quot;:false,&quot;dropping-particle&quot;:&quot;&quot;,&quot;non-dropping-particle&quot;:&quot;Di&quot;}],&quot;container-title&quot;:&quot;Reviews in Environmental Science and Bio/Technology 2024 23:1&quot;,&quot;accessed&quot;:{&quot;date-parts&quot;:[[2024,7,8]]},&quot;DOI&quot;:&quot;10.1007/S11157-024-09682-7&quot;,&quot;ISBN&quot;:&quot;0123456789&quot;,&quot;ISSN&quot;:&quot;1572-9826&quot;,&quot;URL&quot;:&quot;https://link.springer.com/article/10.1007/s11157-024-09682-7&quot;,&quot;issued&quot;:{&quot;date-parts&quot;:[[2024,2,20]]},&quot;page&quot;:&quot;93-132&quot;,&quot;abstract&quot;:&quot;The high metabolic flexibility and biodiversity of microalgae make them promising systems for the production of chemicals and high-value metabolites to be utilized in various industrial applications. Currently, microalgae are primarily cultivated in phototrophic processes or in fermenters using glucose as substrate. However, such configurations are often too costly for the majority of potential applications and require improvements. The use of acetate as substrate to enhance biomass productivity and reduce cost and environmental impacts is a promising solution. In a future bio-based economy, acetate can serve as an excellent intermediate to link many industrial facilities, as it can be synthesized using different technologies from renewable resources as CO2 and waste. This work provides a detailed description of acetate synthesis processes alternative to the conventional methanol carbonylation, including the pros and cons of each: aerobic and anaerobic fermentations; thermochemical treatments; C1 gas fermentation; microbial electrosynthesis and artificial photosynthesis. Additionally, the utilization of acetate as substrate for microalgae growth in mixotrophic and heterotrophic conditions is reviewed, covering key metabolic and engineering aspects (strains, yields, growth rate, inhibition, productivity, process configuration). These aspects serve as guidelines for a rationale design of an algal cultivation process based on acetate as a carbon source. Finally, the review critically assesses the state of the art of coupling of acetate-rich streams with algal biomass production, highlighting the pros and cons and addressing the main knowledge gaps to be filled through future research.&quot;,&quot;publisher&quot;:&quot;Springer&quot;,&quot;issue&quot;:&quot;1&quot;,&quot;volume&quot;:&quot;23&quot;,&quot;container-title-short&quot;:&quot;&quot;},&quot;isTemporary&quot;:false}]},{&quot;citationID&quot;:&quot;MENDELEY_CITATION_f9b8920b-1757-49be-884b-7b93cb6cc447&quot;,&quot;properties&quot;:{&quot;noteIndex&quot;:0},&quot;isEdited&quot;:false,&quot;manualOverride&quot;:{&quot;isManuallyOverridden&quot;:false,&quot;citeprocText&quot;:&quot;(Acharjee et al., 2022)&quot;,&quot;manualOverrideText&quot;:&quot;&quot;},&quot;citationTag&quot;:&quot;MENDELEY_CITATION_v3_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&quot;,&quot;citationItems&quot;:[{&quot;id&quot;:&quot;740adcd9-e092-3753-b3fc-a3929e05799f&quot;,&quot;itemData&quot;:{&quot;type&quot;:&quot;article-journal&quot;,&quot;id&quot;:&quot;740adcd9-e092-3753-b3fc-a3929e05799f&quot;,&quot;title&quot;:&quot;PHA-Based Bioplastic: a Potential Alternative to Address Microplastic Pollution&quot;,&quot;author&quot;:[{&quot;family&quot;:&quot;Acharjee&quot;,&quot;given&quot;:&quot;Shiva Aley&quot;,&quot;parse-names&quot;:false,&quot;dropping-particle&quot;:&quot;&quot;,&quot;non-dropping-particle&quot;:&quot;&quot;},{&quot;family&quot;:&quot;Bharali&quot;,&quot;given&quot;:&quot;Pranjal&quot;,&quot;parse-names&quot;:false,&quot;dropping-particle&quot;:&quot;&quot;,&quot;non-dropping-particle&quot;:&quot;&quot;},{&quot;family&quot;:&quot;Gogoi&quot;,&quot;given&quot;:&quot;Bhagyudoy&quot;,&quot;parse-names&quot;:false,&quot;dropping-particle&quot;:&quot;&quot;,&quot;non-dropping-particle&quot;:&quot;&quot;},{&quot;family&quot;:&quot;Sorhie&quot;,&quot;given&quot;:&quot;Viphrezolie&quot;,&quot;parse-names&quot;:false,&quot;dropping-particle&quot;:&quot;&quot;,&quot;non-dropping-particle&quot;:&quot;&quot;},{&quot;family&quot;:&quot;Walling&quot;,&quot;given&quot;:&quot;Bendangtula&quot;,&quot;parse-names&quot;:false,&quot;dropping-particle&quot;:&quot;&quot;,&quot;non-dropping-particle&quot;:&quot;&quot;},{&quot;family&quot;:&quot;Alemtoshi&quot;,&quot;given&quot;:&quot;&quot;,&quot;parse-names&quot;:false,&quot;dropping-particle&quot;:&quot;&quot;,&quot;non-dropping-particle&quot;:&quot;&quot;}],&quot;container-title&quot;:&quot;Water, Air, &amp; Soil Pollution 2022 234:1&quot;,&quot;accessed&quot;:{&quot;date-parts&quot;:[[2024,12,13]]},&quot;DOI&quot;:&quot;10.1007/S11270-022-06029-2&quot;,&quot;ISSN&quot;:&quot;1573-2932&quot;,&quot;URL&quot;:&quot;https://link.springer.com/article/10.1007/s11270-022-06029-2&quot;,&quot;issued&quot;:{&quot;date-parts&quot;:[[2022,12,29]]},&quot;page&quot;:&quot;1-31&quot;,&quot;abstract&quot;:&quot;Petroleum-derived plastics are linked to a variety of growing environmental issues throughout their lifecycle, including emission of greenhouse gases, accumulation in terrestrial and marine habitats, pollution, among others. There has been a lot of attention over the last decade in industrial and research communities in developing and producing eco-friendly polymers to deal with the current environmental issues. Bioplastics preferably are a fast-developing family of polymeric substances that are frequently promoted as substitutes to petroleum-derived plastics. Polyhydroxyalkanoates (PHAs) have a number of appealing properties that make PHAs a feasible source material for bioplastics, either as a direct replacement of petroleum-derived plastics or as a blend with elements derived from natural origin, fabricated biodegradable polymers, and/or non-biodegradable polymers. Among the most promising PHAs, polyhydroxybutyrates (PHBs) are the most well-known and have a significant potential to replace traditional plastics. These biodegradable plastics decompose faster after decomposing into carbon dioxide, water, and inorganic chemicals. Bioplastics have been extensively utilized in several sectors such as food-processing industry, medical, agriculture, automobile industry, etc. However, it is also associated with disadvantages like high cost, uneconomic feasibility, brittleness, and hydrophilic nature. A variety of tactics have been explored to improve the qualities of bioplastics, with the most prevalent being the development of gas and water barrier properties. The prime objective of this study is to review the current knowledge on PHAs and provide a brief introduction to PHAs, which have drawn attention as a possible potential alternative to conventional plastics due to their biological origin, biocompatibility, and biodegradability, thereby reducing the negative impact of microplastics in the environment. This review may help trigger further scientific interest to thoroughly research on PHAs as a sustainable option to greener bioplastics.&quot;,&quot;publisher&quot;:&quot;Springer&quot;,&quot;issue&quot;:&quot;1&quot;,&quot;volume&quot;:&quot;234&quot;,&quot;container-title-short&quot;:&quot;&quot;},&quot;isTemporary&quot;:false}]},{&quot;citationID&quot;:&quot;MENDELEY_CITATION_e9f58037-2ac1-4be9-b5a1-9adfcb8f09ce&quot;,&quot;properties&quot;:{&quot;noteIndex&quot;:0},&quot;isEdited&quot;:false,&quot;manualOverride&quot;:{&quot;isManuallyOverridden&quot;:false,&quot;citeprocText&quot;:&quot;(Di Caprio et al., 2021)&quot;,&quot;manualOverrideText&quot;:&quot;&quot;},&quot;citationTag&quot;:&quot;MENDELEY_CITATION_v3_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&quot;,&quot;citationItems&quot;:[{&quot;id&quot;:&quot;15bce825-ca4a-3873-8da2-002c92ea1182&quot;,&quot;itemData&quot;:{&quot;type&quot;:&quot;article-journal&quot;,&quot;id&quot;:&quot;15bce825-ca4a-3873-8da2-002c92ea1182&quot;,&quot;title&quot;:&quot;Extracellular and intracellular phenol production by microalgae during photoautotrophic batch cultivation&quot;,&quot;author&quot;:[{&quot;family&quot;:&quot;Caprio&quot;,&quot;given&quot;:&quot;Fabrizio&quot;,&quot;parse-names&quot;:false,&quot;dropping-particle&quot;:&quot;&quot;,&quot;non-dropping-particle&quot;:&quot;Di&quot;},{&quot;family&quot;:&quot;Pipitone&quot;,&quot;given&quot;:&quot;Luca Maria&quot;,&quot;parse-names&quot;:false,&quot;dropping-particle&quot;:&quot;&quot;,&quot;non-dropping-particle&quot;:&quot;&quot;},{&quot;family&quot;:&quot;Altimari&quot;,&quot;given&quot;:&quot;Pietro&quot;,&quot;parse-names&quot;:false,&quot;dropping-particle&quot;:&quot;&quot;,&quot;non-dropping-particle&quot;:&quot;&quot;},{&quot;family&quot;:&quot;Pagnanelli&quot;,&quot;given&quot;:&quot;Francesca&quot;,&quot;parse-names&quot;:false,&quot;dropping-particle&quot;:&quot;&quot;,&quot;non-dropping-particle&quot;:&quot;&quot;}],&quot;container-title&quot;:&quot;New Biotechnology&quot;,&quot;container-title-short&quot;:&quot;N Biotechnol&quot;,&quot;accessed&quot;:{&quot;date-parts&quot;:[[2024,11,28]]},&quot;DOI&quot;:&quot;10.1016/J.NBT.2020.12.003&quot;,&quot;ISSN&quot;:&quot;1871-6784&quot;,&quot;PMID&quot;:&quot;33358937&quot;,&quot;issued&quot;:{&quot;date-parts&quot;:[[2021,5,25]]},&quot;page&quot;:&quot;1-9&quot;,&quot;abstract&quot;:&quot;Understanding the mechanisms of phenol production by microalgae can contribute to the development of microalgal biorefinery processes with higher economic and environmental sustainability. However, little is known about how phenols are produced and accumulate during microalgal cultivation. In this study, both extracellular and intracellular phenol production by two microalgal strains (Tetradesmus obliquus and Chlorella sp.) were investigated throughout a conventional photoautotrophic batch cultivation. The highest intracellular phenol content (10−25 mg g−1) and productivity (12–18 mg L−1 d−1) were attained for both strains in the first part of the batch, indicating a positive relation with nutrient availability and biomass productivity. Extracellular phenol production was 2–20 fold lower than intracellular phenols, but reached up to 27 mg L−1 for T. obliquus and 13 mg L−1 for Chlorella sp. The latter finding highlights relevant issues about the management of the exhausted culture medium, due to likely antimicrobial effects.&quot;,&quot;publisher&quot;:&quot;Elsevier&quot;,&quot;volume&quot;:&quot;62&quot;},&quot;isTemporary&quot;:false}]},{&quot;citationID&quot;:&quot;MENDELEY_CITATION_db82df3f-b9d1-4305-b37b-dbe7822318f4&quot;,&quot;properties&quot;:{&quot;noteIndex&quot;:0},&quot;isEdited&quot;:false,&quot;manualOverride&quot;:{&quot;isManuallyOverridden&quot;:false,&quot;citeprocText&quot;:&quot;(Braunegg et al., 1978)&quot;,&quot;manualOverrideText&quot;:&quot;&quot;},&quot;citationTag&quot;:&quot;MENDELEY_CITATION_v3_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&quot;,&quot;citationItems&quot;:[{&quot;id&quot;:&quot;eca7ce6c-d4ad-32c0-bdc5-ca6351a0ddb2&quot;,&quot;itemData&quot;:{&quot;type&quot;:&quot;article-journal&quot;,&quot;id&quot;:&quot;eca7ce6c-d4ad-32c0-bdc5-ca6351a0ddb2&quot;,&quot;title&quot;:&quot;A rapid gas chromatographic method for the determination of poly-β-hydroxybutyric acid in microbial biomass&quot;,&quot;author&quot;:[{&quot;family&quot;:&quot;Braunegg&quot;,&quot;given&quot;:&quot;G.&quot;,&quot;parse-names&quot;:false,&quot;dropping-particle&quot;:&quot;&quot;,&quot;non-dropping-particle&quot;:&quot;&quot;},{&quot;family&quot;:&quot;Sonnleitner&quot;,&quot;given&quot;:&quot;B.&quot;,&quot;parse-names&quot;:false,&quot;dropping-particle&quot;:&quot;&quot;,&quot;non-dropping-particle&quot;:&quot;&quot;},{&quot;family&quot;:&quot;Lafferty&quot;,&quot;given&quot;:&quot;R. M.&quot;,&quot;parse-names&quot;:false,&quot;dropping-particle&quot;:&quot;&quot;,&quot;non-dropping-particle&quot;:&quot;&quot;}],&quot;container-title&quot;:&quot;European Journal of Applied Microbiology and Biotechnology&quot;,&quot;accessed&quot;:{&quot;date-parts&quot;:[[2024,12,13]]},&quot;DOI&quot;:&quot;10.1007/BF00500854/METRICS&quot;,&quot;ISSN&quot;:&quot;14320614&quot;,&quot;URL&quot;:&quot;https://link.springer.com/article/10.1007/BF00500854&quot;,&quot;issued&quot;:{&quot;date-parts&quot;:[[1978]]},&quot;page&quot;:&quot;29-37&quot;,&quot;abstract&quot;:&quot;The gas chromatographic method for the determination of poly-β-hydroxybutyric acid (PHB) consists of a mild acid or alkaline methanolysis of poly-β-hydroxybutyric acid directly without previous extraction of PHB from the cells; this is followed by gas chromatography of the 3-hydroxybutyric acid methylester. The method is characterized by high accuracy and excellent reproducibility, permitting determinations as low as 10&lt;sup&gt;-5&lt;/sup&gt; g/l. Only 4 h is required from sampling from the fermenter till completion of the PHB determination. © 1978 Springer-Verlag.&quot;,&quot;publisher&quot;:&quot;Springer-Verlag&quot;,&quot;issue&quot;:&quot;1&quot;,&quot;volume&quot;:&quot;6&quot;,&quot;container-title-short&quot;:&quot;&quot;},&quot;isTemporary&quot;:false}]},{&quot;citationID&quot;:&quot;MENDELEY_CITATION_852e62c1-19a4-4fa7-85bb-91fe0723051b&quot;,&quot;properties&quot;:{&quot;noteIndex&quot;:0},&quot;isEdited&quot;:false,&quot;manualOverride&quot;:{&quot;isManuallyOverridden&quot;:false,&quot;citeprocText&quot;:&quot;(Tayou Nguemna et al., 2023)&quot;,&quot;manualOverrideText&quot;:&quot;&quot;},&quot;citationTag&quot;:&quot;MENDELEY_CITATION_v3_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&quot;,&quot;citationItems&quot;:[{&quot;id&quot;:&quot;8009ddd4-4e7a-3c38-8318-9cf22d95241f&quot;,&quot;itemData&quot;:{&quot;type&quot;:&quot;article-journal&quot;,&quot;id&quot;:&quot;8009ddd4-4e7a-3c38-8318-9cf22d95241f&quot;,&quot;title&quot;:&quot;Recirculation factor as a key parameter in continuous-flow biomass selection for polyhydroxyalkanoates production&quot;,&quot;author&quot;:[{&quot;family&quot;:&quot;Tayou Nguemna&quot;,&quot;given&quot;:&quot;Lionel&quot;,&quot;parse-names&quot;:false,&quot;dropping-particle&quot;:&quot;&quot;,&quot;non-dropping-particle&quot;:&quot;&quot;},{&quot;family&quot;:&quot;Marzulli&quot;,&quot;given&quot;:&quot;Flavia&quot;,&quot;parse-names&quot;:false,&quot;dropping-particle&quot;:&quot;&quot;,&quot;non-dropping-particle&quot;:&quot;&quot;},{&quot;family&quot;:&quot;Scopetti&quot;,&quot;given&quot;:&quot;Federico&quot;,&quot;parse-names&quot;:false,&quot;dropping-particle&quot;:&quot;&quot;,&quot;non-dropping-particle&quot;:&quot;&quot;},{&quot;family&quot;:&quot;Lorini&quot;,&quot;given&quot;:&quot;Laura&quot;,&quot;parse-names&quot;:false,&quot;dropping-particle&quot;:&quot;&quot;,&quot;non-dropping-particle&quot;:&quot;&quot;},{&quot;family&quot;:&quot;Lauri&quot;,&quot;given&quot;:&quot;Roberto&quot;,&quot;parse-names&quot;:false,&quot;dropping-particle&quot;:&quot;&quot;,&quot;non-dropping-particle&quot;:&quot;&quot;},{&quot;family&quot;:&quot;Pietrangeli&quot;,&quot;given&quot;:&quot;Biancamaria&quot;,&quot;parse-names&quot;:false,&quot;dropping-particle&quot;:&quot;&quot;,&quot;non-dropping-particle&quot;:&quot;&quot;},{&quot;family&quot;:&quot;Crognale&quot;,&quot;given&quot;:&quot;Simona&quot;,&quot;parse-names&quot;:false,&quot;dropping-particle&quot;:&quot;&quot;,&quot;non-dropping-particle&quot;:&quot;&quot;},{&quot;family&quot;:&quot;Rossetti&quot;,&quot;given&quot;:&quot;Simona&quot;,&quot;parse-names&quot;:false,&quot;dropping-particle&quot;:&quot;&quot;,&quot;non-dropping-particle&quot;:&quot;&quot;},{&quot;family&quot;:&quot;Majone&quot;,&quot;given&quot;:&quot;Mauro&quot;,&quot;parse-names&quot;:false,&quot;dropping-particle&quot;:&quot;&quot;,&quot;non-dropping-particle&quot;:&quot;&quot;},{&quot;family&quot;:&quot;Villano&quot;,&quot;given&quot;:&quot;Marianna&quot;,&quot;parse-names&quot;:false,&quot;dropping-particle&quot;:&quot;&quot;,&quot;non-dropping-particle&quot;:&quot;&quot;}],&quot;container-title&quot;:&quot;Chemical Engineering Journal&quot;,&quot;accessed&quot;:{&quot;date-parts&quot;:[[2024,11,28]]},&quot;DOI&quot;:&quot;10.1016/J.CEJ.2022.140208&quot;,&quot;ISSN&quot;:&quot;1385-8947&quot;,&quot;issued&quot;:{&quot;date-parts&quot;:[[2023,1,1]]},&quot;page&quot;:&quot;140208&quot;,&quot;abstract&quot;:&quot;The effectiveness of polyhydroxyalkanoates (PHA) production with mixed microbial cultures (MMC) largely depends on the selection of PHA-storing microorganisms, conventionally performed in sequencing batch reactors (SBR). These, although easily allow the establishment of the required feast and famine (FF) regime, can represent a factor of cost increase when the process is scaled up. Here, a novel continuous-flow process for MMC selection under FF conditions has been developed by using two sequentially operated reactors. The feast reactor, having a tubular configuration, was continuously fed with a synthetic mixture of acetic and propionic acids (at an organic loading rate of 2.12 gCOD/L d) and the effluent of this reactor was in part sent to the CSTR famine reactor. The recirculation factor (RC), that is the ratio between the recirculation flow rate and the feeding flow rate to the feast reactor, was the main parameter investigated. Four different runs were performed with the RC varying from 1 to 8 and the increase in its value caused a decrease of the biomass residence time in each reactor. The intracellular PHA content in the feast reactor almost linearly increased up to RC 4 (with a value of 34 ± 2 %, wt/wt) and dropped at the RC 8 condition that, however, showed the maximum PHA content (58 ± 5 %, wt/wt) during the accumulation tests. Indeed, the relative abundance of sequences affiliated with putative PHA-storing bacteria increased up to 90.5 % at RC 8 and were dominated by members of the Alphaproteobacteria class mostly represented by the genus Meganema (74 %).&quot;,&quot;publisher&quot;:&quot;Elsevier&quot;,&quot;volume&quot;:&quot;455&quot;,&quot;container-title-short&quot;:&quot;&quot;},&quot;isTemporary&quot;:false}]},{&quot;citationID&quot;:&quot;MENDELEY_CITATION_159e4d0c-9c81-4c0c-8a6b-52b76e7a6fd0&quot;,&quot;properties&quot;:{&quot;noteIndex&quot;:0},&quot;isEdited&quot;:false,&quot;manualOverride&quot;:{&quot;isManuallyOverridden&quot;:false,&quot;citeprocText&quot;:&quot;(Di Caprio et al., 2022)&quot;,&quot;manualOverrideText&quot;:&quot;&quot;},&quot;citationTag&quot;:&quot;MENDELEY_CITATION_v3_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&quot;,&quot;citationItems&quot;:[{&quot;id&quot;:&quot;b91f4c34-7042-3bd7-82fb-2b91a29c150f&quot;,&quot;itemData&quot;:{&quot;type&quot;:&quot;article-journal&quot;,&quot;id&quot;:&quot;b91f4c34-7042-3bd7-82fb-2b91a29c150f&quot;,&quot;title&quot;:&quot;Two-phase synthesis of Fe-loaded hydrochar for As removal: The distinct effects of initial pH, reaction time and Fe/hydrochar ratio&quot;,&quot;author&quot;:[{&quot;family&quot;:&quot;Caprio&quot;,&quot;given&quot;:&quot;Fabrizio&quot;,&quot;parse-names&quot;:false,&quot;dropping-particle&quot;:&quot;&quot;,&quot;non-dropping-particle&quot;:&quot;Di&quot;},{&quot;family&quot;:&quot;Pellini&quot;,&quot;given&quot;:&quot;Andrea&quot;,&quot;parse-names&quot;:false,&quot;dropping-particle&quot;:&quot;&quot;,&quot;non-dropping-particle&quot;:&quot;&quot;},{&quot;family&quot;:&quot;Zanoni&quot;,&quot;given&quot;:&quot;Robertino&quot;,&quot;parse-names&quot;:false,&quot;dropping-particle&quot;:&quot;&quot;,&quot;non-dropping-particle&quot;:&quot;&quot;},{&quot;family&quot;:&quot;Astolfi&quot;,&quot;given&quot;:&quot;Maria Luisa&quot;,&quot;parse-names&quot;:false,&quot;dropping-particle&quot;:&quot;&quot;,&quot;non-dropping-particle&quot;:&quot;&quot;},{&quot;family&quot;:&quot;Altimari&quot;,&quot;given&quot;:&quot;Pietro&quot;,&quot;parse-names&quot;:false,&quot;dropping-particle&quot;:&quot;&quot;,&quot;non-dropping-particle&quot;:&quot;&quot;},{&quot;family&quot;:&quot;Pagnanelli&quot;,&quot;given&quot;:&quot;Francesca&quot;,&quot;parse-names&quot;:false,&quot;dropping-particle&quot;:&quot;&quot;,&quot;non-dropping-particle&quot;:&quot;&quot;}],&quot;container-title&quot;:&quot;Journal of Environmental Management&quot;,&quot;container-title-short&quot;:&quot;J Environ Manage&quot;,&quot;accessed&quot;:{&quot;date-parts&quot;:[[2022,10,20]]},&quot;DOI&quot;:&quot;10.1016/J.JENVMAN.2021.114058&quot;,&quot;ISSN&quot;:&quot;0301-4797&quot;,&quot;PMID&quot;:&quot;34741947&quot;,&quot;issued&quot;:{&quot;date-parts&quot;:[[2022,1,15]]},&quot;page&quot;:&quot;114058&quot;,&quot;abstract&quot;:&quot;Hydrothermal carbonization (HTC) is a promising technology for producing char material (hydrochar) from waste biomass. In the present work, a two-stage process was applied and optimized to obtain a composite Fe-loaded hydrochar effective in removing arsenic from water. The first stage of carbonization of the biomass in acid conditions was followed by loading Fe3O4 in the second stage into the hydrochar by alkaline co-precipitation. The effect on the kinetics and on the final yield of HTC induced by a variation of the initial acid pH (5.6, 2.0, and 0.5) was tested. Biomass hydrolysis initially decreased the hydrochar yield and released soluble organic species, responsible for the observed pH variation. This effect was more remarkable at the lower initial pH tested. Soluble organic compounds eventually underwent polymerization, with secondary char formation, an inversion of the pH trend and an increase of hydrochar yield and C%. The final pH attained was linearly related to the hydrochar C%, O/C ratio, and initial pH. Better carbonization performances were achieved at pH = 0.5, 200 °C, and 30 min reaction time, which resulted in 53% mass yield and 72 C%. This value is larger than those previously reported for processes conducted at higher temperatures, and it shows how the addition of acid allows working at lower operative temperatures. Fe loading gave better yields at lower hydrochar concentrations, producing an adsorbent with up to 74% Fe3O4, which adsorbed 2.67 mg/g arsenic. Its adsorption capacity was remarkably affected by the stirring method used, indicating that particle-to-particle interactions considerably influence the process. This effect should be better studied for improved applications in fixed-bed columns.&quot;,&quot;publisher&quot;:&quot;Academic Press&quot;,&quot;volume&quot;:&quot;302&quot;},&quot;isTemporary&quot;:false}]},{&quot;citationID&quot;:&quot;MENDELEY_CITATION_7d08b790-57ad-410e-b7cd-a77c456dd75d&quot;,&quot;properties&quot;:{&quot;noteIndex&quot;:0},&quot;isEdited&quot;:false,&quot;manualOverride&quot;:{&quot;isManuallyOverridden&quot;:false,&quot;citeprocText&quot;:&quot;(Hoekman et al., 2011)&quot;,&quot;manualOverrideText&quot;:&quot;&quot;},&quot;citationTag&quot;:&quot;MENDELEY_CITATION_v3_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&quot;,&quot;citationItems&quot;:[{&quot;id&quot;:&quot;f9115a52-19d5-3ef5-bc3b-4090f4fcbbee&quot;,&quot;itemData&quot;:{&quot;type&quot;:&quot;article-journal&quot;,&quot;id&quot;:&quot;f9115a52-19d5-3ef5-bc3b-4090f4fcbbee&quot;,&quot;title&quot;:&quot;Hydrothermal Carbonization (HTC) of Lignocellulosic Biomass&quot;,&quot;author&quot;:[{&quot;family&quot;:&quot;Hoekman&quot;,&quot;given&quot;:&quot;S Kent&quot;,&quot;parse-names&quot;:false,&quot;dropping-particle&quot;:&quot;&quot;,&quot;non-dropping-particle&quot;:&quot;&quot;},{&quot;family&quot;:&quot;Broch&quot;,&quot;given&quot;:&quot;Amber&quot;,&quot;parse-names&quot;:false,&quot;dropping-particle&quot;:&quot;&quot;,&quot;non-dropping-particle&quot;:&quot;&quot;},{&quot;family&quot;:&quot;Robbins&quot;,&quot;given&quot;:&quot;Curtis&quot;,&quot;parse-names&quot;:false,&quot;dropping-particle&quot;:&quot;&quot;,&quot;non-dropping-particle&quot;:&quot;&quot;}],&quot;accessed&quot;:{&quot;date-parts&quot;:[[2021,6,24]]},&quot;DOI&quot;:&quot;10.1021/ef101745n&quot;,&quot;URL&quot;:&quot;https://pubs.acs.org/sharingguidelines&quot;,&quot;issued&quot;:{&quot;date-parts&quot;:[[2011]]},&quot;page&quot;:&quot;1802-1810&quot;,&quot;abstract&quot;:&quot;Hydrothermal carbonization (HTC) of biomass involves contacting raw feedstock with hot, pressurized water. Through a variety of hydrolysis, dehydration, and decarboxylation processes, gaseous and water-soluble products are produced, in addition to water itself and a solid char. In this experimental effort, a 2 L Parr stirred pressure vessel was used to apply the HTC process to a mixed wood feedstock. The effects of the reaction conditions on product compositions and yields were examined by varying temperature over the range of 215À295 °C and varying reaction hold time over the range of 5À60 min. With increasing temperature and time, the amounts of gaseous products and produced water increased, while the amount of HTC char decreased. The energy density of the char increased with reaction severity. At reaction conditions of 255 °C for 30 min, the HTC char had 39% higher energy density than the raw biomass feedstock. Aqueous solutions from HTC experiments at lower temperatures (215À235 °C) contained significant levels of sugars. At higher temperatures (255À295 °C), greatly reduced concentrations of sugars were observed, while concentrations of acetic acid increased. A two-step HTC process involving low-and high-temperature regimes may be advantageous to maximize both the recovery of sugars and production of energy-dense char.&quot;,&quot;volume&quot;:&quot;2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3366</Words>
  <Characters>19188</Characters>
  <Application>Microsoft Office Word</Application>
  <DocSecurity>0</DocSecurity>
  <Lines>159</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fabrizio di caprio</cp:lastModifiedBy>
  <cp:revision>19</cp:revision>
  <cp:lastPrinted>2015-05-12T18:31:00Z</cp:lastPrinted>
  <dcterms:created xsi:type="dcterms:W3CDTF">2024-12-03T13:57:00Z</dcterms:created>
  <dcterms:modified xsi:type="dcterms:W3CDTF">2025-02-07T09:18:00Z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